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color w:val="auto"/>
          <w:sz w:val="36"/>
        </w:rPr>
      </w:pPr>
      <w:r>
        <w:rPr>
          <w:rFonts w:hint="eastAsia" w:eastAsia="黑体"/>
          <w:b/>
          <w:color w:val="auto"/>
          <w:sz w:val="28"/>
        </w:rPr>
        <w:drawing>
          <wp:inline distT="0" distB="0" distL="114300" distR="114300">
            <wp:extent cx="533400" cy="514350"/>
            <wp:effectExtent l="19050" t="0" r="0" b="0"/>
            <wp:docPr id="2" name="Picture 2" descr="三方诚信标志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三方诚信标志01"/>
                    <pic:cNvPicPr>
                      <a:picLocks noChangeAspect="1" noChangeArrowheads="1"/>
                    </pic:cNvPicPr>
                  </pic:nvPicPr>
                  <pic:blipFill>
                    <a:blip r:embed="rId7" cstate="print"/>
                    <a:srcRect/>
                    <a:stretch>
                      <a:fillRect/>
                    </a:stretch>
                  </pic:blipFill>
                  <pic:spPr>
                    <a:xfrm>
                      <a:off x="0" y="0"/>
                      <a:ext cx="533400" cy="514350"/>
                    </a:xfrm>
                    <a:prstGeom prst="rect">
                      <a:avLst/>
                    </a:prstGeom>
                    <a:noFill/>
                    <a:ln w="9525">
                      <a:noFill/>
                      <a:miter lim="800000"/>
                      <a:headEnd/>
                      <a:tailEnd/>
                    </a:ln>
                  </pic:spPr>
                </pic:pic>
              </a:graphicData>
            </a:graphic>
          </wp:inline>
        </w:drawing>
      </w:r>
    </w:p>
    <w:p>
      <w:pPr>
        <w:jc w:val="right"/>
        <w:rPr>
          <w:rFonts w:eastAsia="黑体"/>
          <w:b/>
          <w:color w:val="auto"/>
          <w:sz w:val="36"/>
        </w:rPr>
      </w:pPr>
    </w:p>
    <w:p>
      <w:pPr>
        <w:rPr>
          <w:color w:val="auto"/>
        </w:rPr>
      </w:pPr>
    </w:p>
    <w:p>
      <w:pPr>
        <w:rPr>
          <w:color w:val="auto"/>
        </w:rPr>
      </w:pPr>
    </w:p>
    <w:p>
      <w:pPr>
        <w:jc w:val="center"/>
        <w:rPr>
          <w:rFonts w:ascii="黑体" w:eastAsia="黑体"/>
          <w:b/>
          <w:color w:val="auto"/>
          <w:sz w:val="72"/>
          <w:szCs w:val="32"/>
        </w:rPr>
      </w:pPr>
      <w:r>
        <w:rPr>
          <w:rFonts w:hint="eastAsia" w:ascii="黑体" w:eastAsia="黑体"/>
          <w:b/>
          <w:color w:val="auto"/>
          <w:sz w:val="72"/>
          <w:szCs w:val="32"/>
        </w:rPr>
        <w:t>东莞市政府采购</w:t>
      </w:r>
    </w:p>
    <w:p>
      <w:pPr>
        <w:jc w:val="center"/>
        <w:rPr>
          <w:b/>
          <w:color w:val="auto"/>
          <w:sz w:val="72"/>
          <w:szCs w:val="32"/>
        </w:rPr>
      </w:pPr>
      <w:r>
        <w:rPr>
          <w:rFonts w:hint="eastAsia" w:ascii="黑体" w:eastAsia="黑体"/>
          <w:b/>
          <w:color w:val="auto"/>
          <w:sz w:val="72"/>
          <w:szCs w:val="32"/>
        </w:rPr>
        <w:t>公开招标文件</w:t>
      </w:r>
    </w:p>
    <w:p>
      <w:pPr>
        <w:jc w:val="center"/>
        <w:rPr>
          <w:color w:val="auto"/>
        </w:rPr>
      </w:pPr>
    </w:p>
    <w:p>
      <w:pPr>
        <w:jc w:val="center"/>
        <w:rPr>
          <w:color w:val="auto"/>
        </w:rPr>
      </w:pPr>
    </w:p>
    <w:p>
      <w:pPr>
        <w:rPr>
          <w:color w:val="auto"/>
        </w:rPr>
      </w:pPr>
    </w:p>
    <w:p>
      <w:pPr>
        <w:rPr>
          <w:rFonts w:ascii="Arial" w:hAnsi="Arial" w:eastAsia="黑体" w:cs="Arial"/>
          <w:bCs/>
          <w:color w:val="auto"/>
          <w:sz w:val="44"/>
        </w:rPr>
      </w:pPr>
      <w:r>
        <w:rPr>
          <w:rFonts w:ascii="Arial" w:hAnsi="Arial" w:eastAsia="黑体" w:cs="Arial"/>
          <w:bCs/>
          <w:color w:val="auto"/>
          <w:sz w:val="44"/>
        </w:rPr>
        <w:t>项目名称：</w:t>
      </w:r>
      <w:r>
        <w:rPr>
          <w:rFonts w:hint="eastAsia" w:ascii="Arial" w:hAnsi="Arial" w:eastAsia="黑体" w:cs="Arial"/>
          <w:bCs/>
          <w:color w:val="auto"/>
          <w:sz w:val="44"/>
        </w:rPr>
        <w:t>东莞市公安局石排分局村级视频联网及智能感知系统项目</w:t>
      </w:r>
      <w:r>
        <w:rPr>
          <w:rFonts w:ascii="Arial" w:hAnsi="Arial" w:eastAsia="黑体" w:cs="Arial"/>
          <w:bCs/>
          <w:color w:val="auto"/>
          <w:sz w:val="44"/>
        </w:rPr>
        <w:t xml:space="preserve"> </w:t>
      </w:r>
    </w:p>
    <w:p>
      <w:pPr>
        <w:rPr>
          <w:rFonts w:ascii="Arial" w:hAnsi="Arial" w:eastAsia="黑体" w:cs="Arial"/>
          <w:bCs/>
          <w:color w:val="auto"/>
          <w:sz w:val="44"/>
        </w:rPr>
      </w:pPr>
      <w:r>
        <w:rPr>
          <w:rFonts w:hint="eastAsia" w:ascii="Arial" w:hAnsi="Arial" w:eastAsia="黑体" w:cs="Arial"/>
          <w:bCs/>
          <w:color w:val="auto"/>
          <w:sz w:val="44"/>
        </w:rPr>
        <w:t>采购项目编号</w:t>
      </w:r>
      <w:r>
        <w:rPr>
          <w:rFonts w:ascii="Arial" w:hAnsi="Arial" w:eastAsia="黑体" w:cs="Arial"/>
          <w:bCs/>
          <w:color w:val="auto"/>
          <w:sz w:val="44"/>
        </w:rPr>
        <w:t>：</w:t>
      </w:r>
      <w:r>
        <w:rPr>
          <w:rFonts w:hint="eastAsia" w:ascii="Arial" w:hAnsi="Arial" w:eastAsia="黑体" w:cs="Arial"/>
          <w:bCs/>
          <w:color w:val="auto"/>
          <w:sz w:val="44"/>
        </w:rPr>
        <w:t>441900-30-201912-3020401-0003</w:t>
      </w:r>
      <w:r>
        <w:rPr>
          <w:rFonts w:ascii="Arial" w:hAnsi="Arial" w:eastAsia="黑体" w:cs="Arial"/>
          <w:bCs/>
          <w:color w:val="auto"/>
          <w:sz w:val="44"/>
        </w:rPr>
        <w:t xml:space="preserve"> </w:t>
      </w:r>
    </w:p>
    <w:p>
      <w:pPr>
        <w:rPr>
          <w:rFonts w:ascii="Arial" w:hAnsi="Arial" w:eastAsia="黑体" w:cs="Arial"/>
          <w:bCs/>
          <w:color w:val="auto"/>
          <w:sz w:val="28"/>
        </w:rPr>
      </w:pPr>
      <w:r>
        <w:rPr>
          <w:rFonts w:hint="eastAsia" w:ascii="Arial" w:hAnsi="Arial" w:eastAsia="黑体" w:cs="Arial"/>
          <w:bCs/>
          <w:color w:val="auto"/>
          <w:sz w:val="44"/>
        </w:rPr>
        <w:t>采购人</w:t>
      </w:r>
      <w:r>
        <w:rPr>
          <w:rFonts w:ascii="Arial" w:hAnsi="Arial" w:eastAsia="黑体" w:cs="Arial"/>
          <w:bCs/>
          <w:color w:val="auto"/>
          <w:sz w:val="44"/>
        </w:rPr>
        <w:t>：</w:t>
      </w:r>
      <w:r>
        <w:rPr>
          <w:rFonts w:hint="eastAsia" w:ascii="Arial" w:hAnsi="Arial" w:eastAsia="黑体" w:cs="Arial"/>
          <w:bCs/>
          <w:color w:val="auto"/>
          <w:sz w:val="44"/>
        </w:rPr>
        <w:t>东莞市公安局石排分局</w:t>
      </w:r>
      <w:r>
        <w:rPr>
          <w:rFonts w:hint="eastAsia" w:ascii="Arial" w:hAnsi="Arial" w:eastAsia="黑体" w:cs="Arial"/>
          <w:bCs/>
          <w:color w:val="auto"/>
          <w:sz w:val="28"/>
        </w:rPr>
        <w:t xml:space="preserve"> </w:t>
      </w:r>
    </w:p>
    <w:p>
      <w:pPr>
        <w:jc w:val="both"/>
        <w:rPr>
          <w:rFonts w:ascii="黑体" w:eastAsia="黑体"/>
          <w:color w:val="auto"/>
          <w:szCs w:val="21"/>
        </w:rPr>
      </w:pPr>
    </w:p>
    <w:p>
      <w:pPr>
        <w:jc w:val="center"/>
        <w:rPr>
          <w:rFonts w:ascii="黑体" w:eastAsia="黑体"/>
          <w:color w:val="auto"/>
          <w:szCs w:val="21"/>
        </w:rPr>
      </w:pPr>
    </w:p>
    <w:p>
      <w:pPr>
        <w:jc w:val="center"/>
        <w:rPr>
          <w:rFonts w:ascii="黑体" w:eastAsia="黑体"/>
          <w:color w:val="auto"/>
          <w:szCs w:val="21"/>
        </w:rPr>
      </w:pPr>
    </w:p>
    <w:p>
      <w:pPr>
        <w:jc w:val="center"/>
        <w:rPr>
          <w:rFonts w:ascii="黑体" w:eastAsia="黑体"/>
          <w:color w:val="auto"/>
          <w:sz w:val="52"/>
          <w:szCs w:val="44"/>
        </w:rPr>
      </w:pPr>
      <w:r>
        <w:rPr>
          <w:rFonts w:hint="eastAsia" w:ascii="黑体" w:eastAsia="黑体"/>
          <w:color w:val="auto"/>
          <w:sz w:val="52"/>
          <w:szCs w:val="44"/>
        </w:rPr>
        <w:t>广东三方诚信招标有限公司</w:t>
      </w:r>
    </w:p>
    <w:p>
      <w:pPr>
        <w:jc w:val="center"/>
        <w:rPr>
          <w:rFonts w:ascii="黑体" w:eastAsia="黑体"/>
          <w:color w:val="auto"/>
          <w:sz w:val="52"/>
          <w:szCs w:val="44"/>
        </w:rPr>
      </w:pPr>
      <w:r>
        <w:rPr>
          <w:rFonts w:hint="eastAsia" w:ascii="黑体" w:eastAsia="黑体"/>
          <w:color w:val="auto"/>
          <w:sz w:val="52"/>
          <w:szCs w:val="44"/>
        </w:rPr>
        <w:t>东莞分公司</w:t>
      </w:r>
    </w:p>
    <w:p>
      <w:pPr>
        <w:pStyle w:val="14"/>
        <w:rPr>
          <w:color w:val="auto"/>
          <w:sz w:val="32"/>
          <w:szCs w:val="32"/>
        </w:rPr>
        <w:sectPr>
          <w:headerReference r:id="rId3" w:type="default"/>
          <w:pgSz w:w="11906" w:h="16838"/>
          <w:pgMar w:top="1440" w:right="1800" w:bottom="1440" w:left="1800" w:header="708" w:footer="708" w:gutter="0"/>
          <w:pgNumType w:start="0"/>
          <w:cols w:space="708" w:num="1"/>
          <w:titlePg/>
          <w:docGrid w:type="lines" w:linePitch="360" w:charSpace="0"/>
        </w:sectPr>
      </w:pPr>
    </w:p>
    <w:p>
      <w:pPr>
        <w:pStyle w:val="14"/>
        <w:rPr>
          <w:color w:val="auto"/>
          <w:sz w:val="40"/>
          <w:szCs w:val="40"/>
        </w:rPr>
      </w:pPr>
      <w:r>
        <w:rPr>
          <w:rFonts w:hint="eastAsia"/>
          <w:color w:val="auto"/>
          <w:sz w:val="40"/>
          <w:szCs w:val="40"/>
        </w:rPr>
        <w:t>目录</w:t>
      </w:r>
    </w:p>
    <w:p>
      <w:pPr>
        <w:pStyle w:val="7"/>
        <w:tabs>
          <w:tab w:val="right" w:leader="dot" w:pos="8306"/>
          <w:tab w:val="clear" w:pos="8296"/>
        </w:tabs>
        <w:spacing w:after="0"/>
        <w:ind w:left="0" w:leftChars="0"/>
        <w:rPr>
          <w:rFonts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TOC \o "1-4" \h \z \u </w:instrText>
      </w:r>
      <w:r>
        <w:rPr>
          <w:rFonts w:hint="eastAsia" w:ascii="宋体" w:hAnsi="宋体" w:eastAsia="宋体" w:cs="宋体"/>
          <w:color w:val="auto"/>
        </w:rPr>
        <w:fldChar w:fldCharType="separate"/>
      </w:r>
      <w:r>
        <w:rPr>
          <w:color w:val="auto"/>
        </w:rPr>
        <w:fldChar w:fldCharType="begin"/>
      </w:r>
      <w:r>
        <w:rPr>
          <w:color w:val="auto"/>
        </w:rPr>
        <w:instrText xml:space="preserve"> HYPERLINK \l "_Toc1420" </w:instrText>
      </w:r>
      <w:r>
        <w:rPr>
          <w:color w:val="auto"/>
        </w:rPr>
        <w:fldChar w:fldCharType="separate"/>
      </w:r>
      <w:r>
        <w:rPr>
          <w:rFonts w:hint="eastAsia" w:ascii="宋体" w:hAnsi="宋体" w:eastAsia="宋体" w:cs="宋体"/>
          <w:color w:val="auto"/>
        </w:rPr>
        <w:t>投标邀请书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_Toc1420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4"/>
        <w:tabs>
          <w:tab w:val="right" w:leader="dot" w:pos="8306"/>
          <w:tab w:val="clear" w:pos="8296"/>
        </w:tabs>
        <w:spacing w:line="240" w:lineRule="auto"/>
        <w:ind w:left="0" w:leftChars="0"/>
        <w:rPr>
          <w:rFonts w:cs="宋体"/>
          <w:color w:val="auto"/>
          <w:sz w:val="21"/>
          <w:szCs w:val="21"/>
        </w:rPr>
      </w:pPr>
      <w:r>
        <w:rPr>
          <w:color w:val="auto"/>
        </w:rPr>
        <w:fldChar w:fldCharType="begin"/>
      </w:r>
      <w:r>
        <w:rPr>
          <w:color w:val="auto"/>
        </w:rPr>
        <w:instrText xml:space="preserve"> HYPERLINK \l "_Toc14146" </w:instrText>
      </w:r>
      <w:r>
        <w:rPr>
          <w:color w:val="auto"/>
        </w:rPr>
        <w:fldChar w:fldCharType="separate"/>
      </w:r>
      <w:r>
        <w:rPr>
          <w:rFonts w:hint="eastAsia" w:cs="宋体"/>
          <w:color w:val="auto"/>
          <w:sz w:val="21"/>
          <w:szCs w:val="21"/>
        </w:rPr>
        <w:t>第二部分 相关资料表格</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_Toc14146 </w:instrText>
      </w:r>
      <w:r>
        <w:rPr>
          <w:rFonts w:hint="eastAsia" w:cs="宋体"/>
          <w:color w:val="auto"/>
          <w:sz w:val="21"/>
          <w:szCs w:val="21"/>
        </w:rPr>
        <w:fldChar w:fldCharType="separate"/>
      </w:r>
      <w:r>
        <w:rPr>
          <w:rFonts w:hint="eastAsia" w:cs="宋体"/>
          <w:color w:val="auto"/>
          <w:sz w:val="21"/>
          <w:szCs w:val="21"/>
        </w:rPr>
        <w:t>6</w:t>
      </w:r>
      <w:r>
        <w:rPr>
          <w:rFonts w:hint="eastAsia" w:cs="宋体"/>
          <w:color w:val="auto"/>
          <w:sz w:val="21"/>
          <w:szCs w:val="21"/>
        </w:rPr>
        <w:fldChar w:fldCharType="end"/>
      </w:r>
      <w:r>
        <w:rPr>
          <w:rFonts w:hint="eastAsia" w:cs="宋体"/>
          <w:color w:val="auto"/>
          <w:sz w:val="21"/>
          <w:szCs w:val="21"/>
        </w:rPr>
        <w:fldChar w:fldCharType="end"/>
      </w:r>
    </w:p>
    <w:p>
      <w:pPr>
        <w:pStyle w:val="7"/>
        <w:tabs>
          <w:tab w:val="right" w:leader="dot" w:pos="8306"/>
          <w:tab w:val="clear" w:pos="8296"/>
        </w:tabs>
        <w:spacing w:after="0"/>
        <w:ind w:left="0" w:leftChars="0"/>
        <w:rPr>
          <w:rFonts w:ascii="宋体" w:hAnsi="宋体" w:eastAsia="宋体" w:cs="宋体"/>
          <w:color w:val="auto"/>
        </w:rPr>
      </w:pPr>
      <w:r>
        <w:rPr>
          <w:color w:val="auto"/>
        </w:rPr>
        <w:fldChar w:fldCharType="begin"/>
      </w:r>
      <w:r>
        <w:rPr>
          <w:color w:val="auto"/>
        </w:rPr>
        <w:instrText xml:space="preserve"> HYPERLINK \l "_Toc20683" </w:instrText>
      </w:r>
      <w:r>
        <w:rPr>
          <w:color w:val="auto"/>
        </w:rPr>
        <w:fldChar w:fldCharType="separate"/>
      </w:r>
      <w:r>
        <w:rPr>
          <w:rFonts w:hint="eastAsia" w:ascii="宋体" w:hAnsi="宋体" w:eastAsia="宋体" w:cs="宋体"/>
          <w:color w:val="auto"/>
        </w:rPr>
        <w:t>附表一：投标资料表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_Toc20683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7"/>
        <w:tabs>
          <w:tab w:val="right" w:leader="dot" w:pos="8306"/>
          <w:tab w:val="clear" w:pos="8296"/>
        </w:tabs>
        <w:spacing w:after="0"/>
        <w:ind w:left="0" w:leftChars="0"/>
        <w:rPr>
          <w:rFonts w:ascii="宋体" w:hAnsi="宋体" w:eastAsia="宋体" w:cs="宋体"/>
          <w:color w:val="auto"/>
        </w:rPr>
      </w:pPr>
      <w:r>
        <w:rPr>
          <w:color w:val="auto"/>
        </w:rPr>
        <w:fldChar w:fldCharType="begin"/>
      </w:r>
      <w:r>
        <w:rPr>
          <w:color w:val="auto"/>
        </w:rPr>
        <w:instrText xml:space="preserve"> HYPERLINK \l "_Toc9572" </w:instrText>
      </w:r>
      <w:r>
        <w:rPr>
          <w:color w:val="auto"/>
        </w:rPr>
        <w:fldChar w:fldCharType="separate"/>
      </w:r>
      <w:r>
        <w:rPr>
          <w:rFonts w:hint="eastAsia" w:ascii="宋体" w:hAnsi="宋体" w:eastAsia="宋体" w:cs="宋体"/>
          <w:color w:val="auto"/>
        </w:rPr>
        <w:t>附表二：商务技术评分及价格权重表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_Toc9572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4"/>
        <w:tabs>
          <w:tab w:val="right" w:leader="dot" w:pos="8306"/>
          <w:tab w:val="clear" w:pos="8296"/>
        </w:tabs>
        <w:spacing w:line="240" w:lineRule="auto"/>
        <w:ind w:left="0" w:leftChars="0"/>
        <w:rPr>
          <w:rFonts w:cs="宋体"/>
          <w:color w:val="auto"/>
          <w:sz w:val="21"/>
          <w:szCs w:val="21"/>
        </w:rPr>
      </w:pPr>
      <w:r>
        <w:rPr>
          <w:color w:val="auto"/>
        </w:rPr>
        <w:fldChar w:fldCharType="begin"/>
      </w:r>
      <w:r>
        <w:rPr>
          <w:color w:val="auto"/>
        </w:rPr>
        <w:instrText xml:space="preserve"> HYPERLINK \l "_Toc31854" </w:instrText>
      </w:r>
      <w:r>
        <w:rPr>
          <w:color w:val="auto"/>
        </w:rPr>
        <w:fldChar w:fldCharType="separate"/>
      </w:r>
      <w:r>
        <w:rPr>
          <w:rFonts w:hint="eastAsia" w:cs="宋体"/>
          <w:color w:val="auto"/>
          <w:sz w:val="21"/>
          <w:szCs w:val="21"/>
        </w:rPr>
        <w:t>第三部分 用户需求书</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_Toc31854 </w:instrText>
      </w:r>
      <w:r>
        <w:rPr>
          <w:rFonts w:hint="eastAsia" w:cs="宋体"/>
          <w:color w:val="auto"/>
          <w:sz w:val="21"/>
          <w:szCs w:val="21"/>
        </w:rPr>
        <w:fldChar w:fldCharType="separate"/>
      </w:r>
      <w:r>
        <w:rPr>
          <w:rFonts w:hint="eastAsia" w:cs="宋体"/>
          <w:color w:val="auto"/>
          <w:sz w:val="21"/>
          <w:szCs w:val="21"/>
        </w:rPr>
        <w:t>12</w:t>
      </w:r>
      <w:r>
        <w:rPr>
          <w:rFonts w:hint="eastAsia" w:cs="宋体"/>
          <w:color w:val="auto"/>
          <w:sz w:val="21"/>
          <w:szCs w:val="21"/>
        </w:rPr>
        <w:fldChar w:fldCharType="end"/>
      </w:r>
      <w:r>
        <w:rPr>
          <w:rFonts w:hint="eastAsia" w:cs="宋体"/>
          <w:color w:val="auto"/>
          <w:sz w:val="21"/>
          <w:szCs w:val="21"/>
        </w:rPr>
        <w:fldChar w:fldCharType="end"/>
      </w:r>
    </w:p>
    <w:p>
      <w:pPr>
        <w:pStyle w:val="7"/>
        <w:tabs>
          <w:tab w:val="right" w:leader="dot" w:pos="8306"/>
          <w:tab w:val="clear" w:pos="8296"/>
        </w:tabs>
        <w:spacing w:after="0"/>
        <w:ind w:left="0" w:leftChars="0"/>
        <w:rPr>
          <w:rFonts w:ascii="宋体" w:hAnsi="宋体" w:eastAsia="宋体" w:cs="宋体"/>
          <w:color w:val="auto"/>
        </w:rPr>
      </w:pPr>
      <w:r>
        <w:rPr>
          <w:color w:val="auto"/>
        </w:rPr>
        <w:fldChar w:fldCharType="begin"/>
      </w:r>
      <w:r>
        <w:rPr>
          <w:color w:val="auto"/>
        </w:rPr>
        <w:instrText xml:space="preserve"> HYPERLINK \l "_Toc3968" </w:instrText>
      </w:r>
      <w:r>
        <w:rPr>
          <w:color w:val="auto"/>
        </w:rPr>
        <w:fldChar w:fldCharType="separate"/>
      </w:r>
      <w:r>
        <w:rPr>
          <w:rFonts w:hint="eastAsia" w:ascii="宋体" w:hAnsi="宋体" w:eastAsia="宋体" w:cs="宋体"/>
          <w:color w:val="auto"/>
        </w:rPr>
        <w:t>用户需求明细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_Toc3968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4"/>
        <w:tabs>
          <w:tab w:val="right" w:leader="dot" w:pos="8306"/>
          <w:tab w:val="clear" w:pos="8296"/>
        </w:tabs>
        <w:spacing w:line="240" w:lineRule="auto"/>
        <w:ind w:left="0" w:leftChars="0"/>
        <w:rPr>
          <w:rFonts w:cs="宋体"/>
          <w:color w:val="auto"/>
          <w:sz w:val="21"/>
          <w:szCs w:val="21"/>
        </w:rPr>
      </w:pPr>
      <w:r>
        <w:rPr>
          <w:color w:val="auto"/>
        </w:rPr>
        <w:fldChar w:fldCharType="begin"/>
      </w:r>
      <w:r>
        <w:rPr>
          <w:color w:val="auto"/>
        </w:rPr>
        <w:instrText xml:space="preserve"> HYPERLINK \l "_Toc2479" </w:instrText>
      </w:r>
      <w:r>
        <w:rPr>
          <w:color w:val="auto"/>
        </w:rPr>
        <w:fldChar w:fldCharType="separate"/>
      </w:r>
      <w:r>
        <w:rPr>
          <w:rFonts w:hint="eastAsia" w:cs="宋体"/>
          <w:color w:val="auto"/>
          <w:sz w:val="21"/>
          <w:szCs w:val="21"/>
        </w:rPr>
        <w:t>第四部分 投标人须知</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_Toc2479 </w:instrText>
      </w:r>
      <w:r>
        <w:rPr>
          <w:rFonts w:hint="eastAsia" w:cs="宋体"/>
          <w:color w:val="auto"/>
          <w:sz w:val="21"/>
          <w:szCs w:val="21"/>
        </w:rPr>
        <w:fldChar w:fldCharType="separate"/>
      </w:r>
      <w:r>
        <w:rPr>
          <w:rFonts w:hint="eastAsia" w:cs="宋体"/>
          <w:color w:val="auto"/>
          <w:sz w:val="21"/>
          <w:szCs w:val="21"/>
        </w:rPr>
        <w:t>29</w:t>
      </w:r>
      <w:r>
        <w:rPr>
          <w:rFonts w:hint="eastAsia" w:cs="宋体"/>
          <w:color w:val="auto"/>
          <w:sz w:val="21"/>
          <w:szCs w:val="21"/>
        </w:rPr>
        <w:fldChar w:fldCharType="end"/>
      </w:r>
      <w:r>
        <w:rPr>
          <w:rFonts w:hint="eastAsia" w:cs="宋体"/>
          <w:color w:val="auto"/>
          <w:sz w:val="21"/>
          <w:szCs w:val="21"/>
        </w:rPr>
        <w:fldChar w:fldCharType="end"/>
      </w:r>
    </w:p>
    <w:p>
      <w:pPr>
        <w:pStyle w:val="7"/>
        <w:tabs>
          <w:tab w:val="right" w:leader="dot" w:pos="8306"/>
          <w:tab w:val="clear" w:pos="8296"/>
        </w:tabs>
        <w:spacing w:after="0"/>
        <w:ind w:left="0" w:leftChars="0"/>
        <w:rPr>
          <w:rFonts w:ascii="宋体" w:hAnsi="宋体" w:eastAsia="宋体" w:cs="宋体"/>
          <w:color w:val="auto"/>
        </w:rPr>
      </w:pPr>
      <w:r>
        <w:rPr>
          <w:color w:val="auto"/>
        </w:rPr>
        <w:fldChar w:fldCharType="begin"/>
      </w:r>
      <w:r>
        <w:rPr>
          <w:color w:val="auto"/>
        </w:rPr>
        <w:instrText xml:space="preserve"> HYPERLINK \l "_Toc19746" </w:instrText>
      </w:r>
      <w:r>
        <w:rPr>
          <w:color w:val="auto"/>
        </w:rPr>
        <w:fldChar w:fldCharType="separate"/>
      </w:r>
      <w:r>
        <w:rPr>
          <w:rFonts w:hint="eastAsia" w:ascii="宋体" w:hAnsi="宋体" w:eastAsia="宋体" w:cs="宋体"/>
          <w:color w:val="auto"/>
        </w:rPr>
        <w:t>一、 说明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_Toc19746 </w:instrText>
      </w:r>
      <w:r>
        <w:rPr>
          <w:rFonts w:hint="eastAsia" w:ascii="宋体" w:hAnsi="宋体" w:eastAsia="宋体" w:cs="宋体"/>
          <w:color w:val="auto"/>
        </w:rPr>
        <w:fldChar w:fldCharType="separate"/>
      </w:r>
      <w:r>
        <w:rPr>
          <w:rFonts w:hint="eastAsia" w:ascii="宋体" w:hAnsi="宋体" w:eastAsia="宋体" w:cs="宋体"/>
          <w:color w:val="auto"/>
        </w:rPr>
        <w:t>29</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"_Toc18488" </w:instrText>
      </w:r>
      <w:r>
        <w:rPr>
          <w:color w:val="auto"/>
        </w:rPr>
        <w:fldChar w:fldCharType="separate"/>
      </w:r>
      <w:r>
        <w:rPr>
          <w:rFonts w:hint="eastAsia" w:ascii="宋体" w:hAnsi="宋体" w:eastAsia="宋体" w:cs="宋体"/>
          <w:color w:val="auto"/>
          <w:sz w:val="21"/>
          <w:szCs w:val="21"/>
        </w:rPr>
        <w:t>1.适用范围</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_Toc18488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"_Toc13400" </w:instrText>
      </w:r>
      <w:r>
        <w:rPr>
          <w:color w:val="auto"/>
        </w:rPr>
        <w:fldChar w:fldCharType="separate"/>
      </w:r>
      <w:r>
        <w:rPr>
          <w:rFonts w:hint="eastAsia" w:ascii="宋体" w:hAnsi="宋体" w:eastAsia="宋体" w:cs="宋体"/>
          <w:color w:val="auto"/>
          <w:sz w:val="21"/>
          <w:szCs w:val="21"/>
        </w:rPr>
        <w:t>2.定义</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_Toc13400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"_Toc3780" </w:instrText>
      </w:r>
      <w:r>
        <w:rPr>
          <w:color w:val="auto"/>
        </w:rPr>
        <w:fldChar w:fldCharType="separate"/>
      </w:r>
      <w:r>
        <w:rPr>
          <w:rFonts w:hint="eastAsia" w:ascii="宋体" w:hAnsi="宋体" w:eastAsia="宋体" w:cs="宋体"/>
          <w:color w:val="auto"/>
          <w:sz w:val="21"/>
          <w:szCs w:val="21"/>
        </w:rPr>
        <w:t>3.货物和服务</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_Toc3780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"_Toc15945" </w:instrText>
      </w:r>
      <w:r>
        <w:rPr>
          <w:color w:val="auto"/>
        </w:rPr>
        <w:fldChar w:fldCharType="separate"/>
      </w:r>
      <w:r>
        <w:rPr>
          <w:rFonts w:hint="eastAsia" w:ascii="宋体" w:hAnsi="宋体" w:eastAsia="宋体" w:cs="宋体"/>
          <w:color w:val="auto"/>
          <w:sz w:val="21"/>
          <w:szCs w:val="21"/>
        </w:rPr>
        <w:t>4.投标费用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_Toc15945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"_Toc25040" </w:instrText>
      </w:r>
      <w:r>
        <w:rPr>
          <w:color w:val="auto"/>
        </w:rPr>
        <w:fldChar w:fldCharType="separate"/>
      </w:r>
      <w:r>
        <w:rPr>
          <w:rFonts w:hint="eastAsia" w:ascii="宋体" w:hAnsi="宋体" w:eastAsia="宋体" w:cs="宋体"/>
          <w:color w:val="auto"/>
          <w:sz w:val="21"/>
          <w:szCs w:val="21"/>
        </w:rPr>
        <w:t>5.知识产权</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_Toc25040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"_Toc21930" </w:instrText>
      </w:r>
      <w:r>
        <w:rPr>
          <w:color w:val="auto"/>
        </w:rPr>
        <w:fldChar w:fldCharType="separate"/>
      </w:r>
      <w:r>
        <w:rPr>
          <w:rFonts w:hint="eastAsia" w:ascii="宋体" w:hAnsi="宋体" w:eastAsia="宋体" w:cs="宋体"/>
          <w:color w:val="auto"/>
          <w:sz w:val="21"/>
          <w:szCs w:val="21"/>
        </w:rPr>
        <w:t>6.关于联合体投标</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_Toc21930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"_Toc16571" </w:instrText>
      </w:r>
      <w:r>
        <w:rPr>
          <w:color w:val="auto"/>
        </w:rPr>
        <w:fldChar w:fldCharType="separate"/>
      </w:r>
      <w:r>
        <w:rPr>
          <w:rFonts w:hint="eastAsia" w:ascii="宋体" w:hAnsi="宋体" w:eastAsia="宋体" w:cs="宋体"/>
          <w:color w:val="auto"/>
          <w:sz w:val="21"/>
          <w:szCs w:val="21"/>
        </w:rPr>
        <w:t>7.关于分支机构投标</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_Toc16571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7"/>
        <w:tabs>
          <w:tab w:val="right" w:leader="dot" w:pos="8306"/>
          <w:tab w:val="clear" w:pos="8296"/>
        </w:tabs>
        <w:spacing w:after="0"/>
        <w:ind w:left="0" w:leftChars="0"/>
        <w:rPr>
          <w:rFonts w:ascii="宋体" w:hAnsi="宋体" w:eastAsia="宋体" w:cs="宋体"/>
          <w:color w:val="auto"/>
        </w:rPr>
      </w:pPr>
      <w:r>
        <w:rPr>
          <w:color w:val="auto"/>
        </w:rPr>
        <w:fldChar w:fldCharType="begin"/>
      </w:r>
      <w:r>
        <w:rPr>
          <w:color w:val="auto"/>
        </w:rPr>
        <w:instrText xml:space="preserve"> HYPERLINK \l "_Toc17879" </w:instrText>
      </w:r>
      <w:r>
        <w:rPr>
          <w:color w:val="auto"/>
        </w:rPr>
        <w:fldChar w:fldCharType="separate"/>
      </w:r>
      <w:r>
        <w:rPr>
          <w:rFonts w:hint="eastAsia" w:ascii="宋体" w:hAnsi="宋体" w:eastAsia="宋体" w:cs="宋体"/>
          <w:color w:val="auto"/>
        </w:rPr>
        <w:t>二、 招标文件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_Toc17879 </w:instrText>
      </w:r>
      <w:r>
        <w:rPr>
          <w:rFonts w:hint="eastAsia" w:ascii="宋体" w:hAnsi="宋体" w:eastAsia="宋体" w:cs="宋体"/>
          <w:color w:val="auto"/>
        </w:rPr>
        <w:fldChar w:fldCharType="separate"/>
      </w:r>
      <w:r>
        <w:rPr>
          <w:rFonts w:hint="eastAsia" w:ascii="宋体" w:hAnsi="宋体" w:eastAsia="宋体" w:cs="宋体"/>
          <w:color w:val="auto"/>
        </w:rPr>
        <w:t>31</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"_Toc21771" </w:instrText>
      </w:r>
      <w:r>
        <w:rPr>
          <w:color w:val="auto"/>
        </w:rPr>
        <w:fldChar w:fldCharType="separate"/>
      </w:r>
      <w:r>
        <w:rPr>
          <w:rFonts w:hint="eastAsia" w:ascii="宋体" w:hAnsi="宋体" w:eastAsia="宋体" w:cs="宋体"/>
          <w:color w:val="auto"/>
          <w:sz w:val="21"/>
          <w:szCs w:val="21"/>
        </w:rPr>
        <w:t>8.招标文件的组成</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_Toc21771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"_Toc14217" </w:instrText>
      </w:r>
      <w:r>
        <w:rPr>
          <w:color w:val="auto"/>
        </w:rPr>
        <w:fldChar w:fldCharType="separate"/>
      </w:r>
      <w:r>
        <w:rPr>
          <w:rFonts w:hint="eastAsia" w:ascii="宋体" w:hAnsi="宋体" w:eastAsia="宋体" w:cs="宋体"/>
          <w:color w:val="auto"/>
          <w:sz w:val="21"/>
          <w:szCs w:val="21"/>
        </w:rPr>
        <w:t>9.招标文件的澄清或修改</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_Toc14217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7"/>
        <w:tabs>
          <w:tab w:val="right" w:leader="dot" w:pos="8306"/>
          <w:tab w:val="clear" w:pos="8296"/>
        </w:tabs>
        <w:spacing w:after="0"/>
        <w:ind w:left="0" w:leftChars="0"/>
        <w:rPr>
          <w:rFonts w:ascii="宋体" w:hAnsi="宋体" w:eastAsia="宋体" w:cs="宋体"/>
          <w:color w:val="auto"/>
        </w:rPr>
      </w:pPr>
      <w:r>
        <w:rPr>
          <w:color w:val="auto"/>
        </w:rPr>
        <w:fldChar w:fldCharType="begin"/>
      </w:r>
      <w:r>
        <w:rPr>
          <w:color w:val="auto"/>
        </w:rPr>
        <w:instrText xml:space="preserve"> HYPERLINK \l "_Toc23726" </w:instrText>
      </w:r>
      <w:r>
        <w:rPr>
          <w:color w:val="auto"/>
        </w:rPr>
        <w:fldChar w:fldCharType="separate"/>
      </w:r>
      <w:r>
        <w:rPr>
          <w:rFonts w:hint="eastAsia" w:ascii="宋体" w:hAnsi="宋体" w:eastAsia="宋体" w:cs="宋体"/>
          <w:color w:val="auto"/>
        </w:rPr>
        <w:t>三、 投标文件的编制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_Toc23726 </w:instrText>
      </w:r>
      <w:r>
        <w:rPr>
          <w:rFonts w:hint="eastAsia" w:ascii="宋体" w:hAnsi="宋体" w:eastAsia="宋体" w:cs="宋体"/>
          <w:color w:val="auto"/>
        </w:rPr>
        <w:fldChar w:fldCharType="separate"/>
      </w:r>
      <w:r>
        <w:rPr>
          <w:rFonts w:hint="eastAsia" w:ascii="宋体" w:hAnsi="宋体" w:eastAsia="宋体" w:cs="宋体"/>
          <w:color w:val="auto"/>
        </w:rPr>
        <w:t>31</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"_Toc20623" </w:instrText>
      </w:r>
      <w:r>
        <w:rPr>
          <w:color w:val="auto"/>
        </w:rPr>
        <w:fldChar w:fldCharType="separate"/>
      </w:r>
      <w:r>
        <w:rPr>
          <w:rFonts w:hint="eastAsia" w:ascii="宋体" w:hAnsi="宋体" w:eastAsia="宋体" w:cs="宋体"/>
          <w:color w:val="auto"/>
          <w:sz w:val="21"/>
          <w:szCs w:val="21"/>
        </w:rPr>
        <w:t>10.投标文件的语言及度量衡单位</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_Toc20623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"_Toc12145" </w:instrText>
      </w:r>
      <w:r>
        <w:rPr>
          <w:color w:val="auto"/>
        </w:rPr>
        <w:fldChar w:fldCharType="separate"/>
      </w:r>
      <w:r>
        <w:rPr>
          <w:rFonts w:hint="eastAsia" w:ascii="宋体" w:hAnsi="宋体" w:eastAsia="宋体" w:cs="宋体"/>
          <w:color w:val="auto"/>
          <w:sz w:val="21"/>
          <w:szCs w:val="21"/>
        </w:rPr>
        <w:t>11.投标文件的组成</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_Toc12145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"_Toc30189" </w:instrText>
      </w:r>
      <w:r>
        <w:rPr>
          <w:color w:val="auto"/>
        </w:rPr>
        <w:fldChar w:fldCharType="separate"/>
      </w:r>
      <w:r>
        <w:rPr>
          <w:rFonts w:hint="eastAsia" w:ascii="宋体" w:hAnsi="宋体" w:eastAsia="宋体" w:cs="宋体"/>
          <w:color w:val="auto"/>
          <w:sz w:val="21"/>
          <w:szCs w:val="21"/>
        </w:rPr>
        <w:t>12.投标文件编制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_Toc30189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"_Toc259" </w:instrText>
      </w:r>
      <w:r>
        <w:rPr>
          <w:color w:val="auto"/>
        </w:rPr>
        <w:fldChar w:fldCharType="separate"/>
      </w:r>
      <w:r>
        <w:rPr>
          <w:rFonts w:hint="eastAsia" w:ascii="宋体" w:hAnsi="宋体" w:eastAsia="宋体" w:cs="宋体"/>
          <w:color w:val="auto"/>
          <w:sz w:val="21"/>
          <w:szCs w:val="21"/>
        </w:rPr>
        <w:t>13.投标报价说明</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_Toc259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"_Toc27724" </w:instrText>
      </w:r>
      <w:r>
        <w:rPr>
          <w:color w:val="auto"/>
        </w:rPr>
        <w:fldChar w:fldCharType="separate"/>
      </w:r>
      <w:r>
        <w:rPr>
          <w:rFonts w:hint="eastAsia" w:ascii="宋体" w:hAnsi="宋体" w:eastAsia="宋体" w:cs="宋体"/>
          <w:color w:val="auto"/>
          <w:sz w:val="21"/>
          <w:szCs w:val="21"/>
        </w:rPr>
        <w:t>14.投标人所提供的服务或货物的证明文件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_Toc27724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"_Toc19520" </w:instrText>
      </w:r>
      <w:r>
        <w:rPr>
          <w:color w:val="auto"/>
        </w:rPr>
        <w:fldChar w:fldCharType="separate"/>
      </w:r>
      <w:r>
        <w:rPr>
          <w:rFonts w:hint="eastAsia" w:ascii="宋体" w:hAnsi="宋体" w:eastAsia="宋体" w:cs="宋体"/>
          <w:color w:val="auto"/>
          <w:sz w:val="21"/>
          <w:szCs w:val="21"/>
        </w:rPr>
        <w:t>15.投标有效期</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_Toc19520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"_Toc12456" </w:instrText>
      </w:r>
      <w:r>
        <w:rPr>
          <w:color w:val="auto"/>
        </w:rPr>
        <w:fldChar w:fldCharType="separate"/>
      </w:r>
      <w:r>
        <w:rPr>
          <w:rFonts w:hint="eastAsia" w:ascii="宋体" w:hAnsi="宋体" w:eastAsia="宋体" w:cs="宋体"/>
          <w:color w:val="auto"/>
          <w:sz w:val="21"/>
          <w:szCs w:val="21"/>
        </w:rPr>
        <w:t>16.投标保证金</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_Toc12456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7"/>
        <w:tabs>
          <w:tab w:val="right" w:leader="dot" w:pos="8306"/>
          <w:tab w:val="clear" w:pos="8296"/>
        </w:tabs>
        <w:spacing w:after="0"/>
        <w:ind w:left="0" w:leftChars="0"/>
        <w:rPr>
          <w:rFonts w:ascii="宋体" w:hAnsi="宋体" w:eastAsia="宋体" w:cs="宋体"/>
          <w:color w:val="auto"/>
        </w:rPr>
      </w:pPr>
      <w:r>
        <w:rPr>
          <w:color w:val="auto"/>
        </w:rPr>
        <w:fldChar w:fldCharType="begin"/>
      </w:r>
      <w:r>
        <w:rPr>
          <w:color w:val="auto"/>
        </w:rPr>
        <w:instrText xml:space="preserve"> HYPERLINK \l "_Toc31124" </w:instrText>
      </w:r>
      <w:r>
        <w:rPr>
          <w:color w:val="auto"/>
        </w:rPr>
        <w:fldChar w:fldCharType="separate"/>
      </w:r>
      <w:r>
        <w:rPr>
          <w:rFonts w:hint="eastAsia" w:ascii="宋体" w:hAnsi="宋体" w:eastAsia="宋体" w:cs="宋体"/>
          <w:color w:val="auto"/>
        </w:rPr>
        <w:t>四、 投标文件的递交</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_Toc31124 </w:instrText>
      </w:r>
      <w:r>
        <w:rPr>
          <w:rFonts w:hint="eastAsia" w:ascii="宋体" w:hAnsi="宋体" w:eastAsia="宋体" w:cs="宋体"/>
          <w:color w:val="auto"/>
        </w:rPr>
        <w:fldChar w:fldCharType="separate"/>
      </w:r>
      <w:r>
        <w:rPr>
          <w:rFonts w:hint="eastAsia" w:ascii="宋体" w:hAnsi="宋体" w:eastAsia="宋体" w:cs="宋体"/>
          <w:color w:val="auto"/>
        </w:rPr>
        <w:t>34</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"_Toc29590" </w:instrText>
      </w:r>
      <w:r>
        <w:rPr>
          <w:color w:val="auto"/>
        </w:rPr>
        <w:fldChar w:fldCharType="separate"/>
      </w:r>
      <w:r>
        <w:rPr>
          <w:rFonts w:hint="eastAsia" w:ascii="宋体" w:hAnsi="宋体" w:eastAsia="宋体" w:cs="宋体"/>
          <w:color w:val="auto"/>
          <w:sz w:val="21"/>
          <w:szCs w:val="21"/>
        </w:rPr>
        <w:t>17.投标文件的装订，签署，密封和标记</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_Toc29590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"_Toc8628" </w:instrText>
      </w:r>
      <w:r>
        <w:rPr>
          <w:color w:val="auto"/>
        </w:rPr>
        <w:fldChar w:fldCharType="separate"/>
      </w:r>
      <w:r>
        <w:rPr>
          <w:rFonts w:hint="eastAsia" w:ascii="宋体" w:hAnsi="宋体" w:eastAsia="宋体" w:cs="宋体"/>
          <w:color w:val="auto"/>
          <w:sz w:val="21"/>
          <w:szCs w:val="21"/>
        </w:rPr>
        <w:t>18.迟交的投标文件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_Toc8628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"_Toc13212" </w:instrText>
      </w:r>
      <w:r>
        <w:rPr>
          <w:color w:val="auto"/>
        </w:rPr>
        <w:fldChar w:fldCharType="separate"/>
      </w:r>
      <w:r>
        <w:rPr>
          <w:rFonts w:hint="eastAsia" w:ascii="宋体" w:hAnsi="宋体" w:eastAsia="宋体" w:cs="宋体"/>
          <w:color w:val="auto"/>
          <w:sz w:val="21"/>
          <w:szCs w:val="21"/>
        </w:rPr>
        <w:t>19.投标样品（如需提交）</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_Toc13212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"_Toc5900" </w:instrText>
      </w:r>
      <w:r>
        <w:rPr>
          <w:color w:val="auto"/>
        </w:rPr>
        <w:fldChar w:fldCharType="separate"/>
      </w:r>
      <w:r>
        <w:rPr>
          <w:rFonts w:hint="eastAsia" w:ascii="宋体" w:hAnsi="宋体" w:eastAsia="宋体" w:cs="宋体"/>
          <w:color w:val="auto"/>
          <w:sz w:val="21"/>
          <w:szCs w:val="21"/>
        </w:rPr>
        <w:t>20.投标截止期</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_Toc5900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"_Toc6003" </w:instrText>
      </w:r>
      <w:r>
        <w:rPr>
          <w:color w:val="auto"/>
        </w:rPr>
        <w:fldChar w:fldCharType="separate"/>
      </w:r>
      <w:r>
        <w:rPr>
          <w:rFonts w:hint="eastAsia" w:ascii="宋体" w:hAnsi="宋体" w:eastAsia="宋体" w:cs="宋体"/>
          <w:color w:val="auto"/>
          <w:sz w:val="21"/>
          <w:szCs w:val="21"/>
        </w:rPr>
        <w:t>21.投标文件的补充、修改与撤回</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_Toc6003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7"/>
        <w:tabs>
          <w:tab w:val="right" w:leader="dot" w:pos="8306"/>
          <w:tab w:val="clear" w:pos="8296"/>
        </w:tabs>
        <w:spacing w:after="0"/>
        <w:ind w:left="0" w:leftChars="0"/>
        <w:rPr>
          <w:rFonts w:ascii="宋体" w:hAnsi="宋体" w:eastAsia="宋体" w:cs="宋体"/>
          <w:color w:val="auto"/>
        </w:rPr>
      </w:pPr>
      <w:r>
        <w:rPr>
          <w:color w:val="auto"/>
        </w:rPr>
        <w:fldChar w:fldCharType="begin"/>
      </w:r>
      <w:r>
        <w:rPr>
          <w:color w:val="auto"/>
        </w:rPr>
        <w:instrText xml:space="preserve"> HYPERLINK \l "_Toc29574" </w:instrText>
      </w:r>
      <w:r>
        <w:rPr>
          <w:color w:val="auto"/>
        </w:rPr>
        <w:fldChar w:fldCharType="separate"/>
      </w:r>
      <w:r>
        <w:rPr>
          <w:rFonts w:hint="eastAsia" w:ascii="宋体" w:hAnsi="宋体" w:eastAsia="宋体" w:cs="宋体"/>
          <w:color w:val="auto"/>
        </w:rPr>
        <w:t>五、 开标与评标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_Toc29574 </w:instrText>
      </w:r>
      <w:r>
        <w:rPr>
          <w:rFonts w:hint="eastAsia" w:ascii="宋体" w:hAnsi="宋体" w:eastAsia="宋体" w:cs="宋体"/>
          <w:color w:val="auto"/>
        </w:rPr>
        <w:fldChar w:fldCharType="separate"/>
      </w:r>
      <w:r>
        <w:rPr>
          <w:rFonts w:hint="eastAsia" w:ascii="宋体" w:hAnsi="宋体" w:eastAsia="宋体" w:cs="宋体"/>
          <w:color w:val="auto"/>
        </w:rPr>
        <w:t>36</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"_Toc28458" </w:instrText>
      </w:r>
      <w:r>
        <w:rPr>
          <w:color w:val="auto"/>
        </w:rPr>
        <w:fldChar w:fldCharType="separate"/>
      </w:r>
      <w:r>
        <w:rPr>
          <w:rFonts w:hint="eastAsia" w:ascii="宋体" w:hAnsi="宋体" w:eastAsia="宋体" w:cs="宋体"/>
          <w:color w:val="auto"/>
          <w:sz w:val="21"/>
          <w:szCs w:val="21"/>
        </w:rPr>
        <w:t>22.开标</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_Toc28458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"_Toc5524" </w:instrText>
      </w:r>
      <w:r>
        <w:rPr>
          <w:color w:val="auto"/>
        </w:rPr>
        <w:fldChar w:fldCharType="separate"/>
      </w:r>
      <w:r>
        <w:rPr>
          <w:rFonts w:hint="eastAsia" w:ascii="宋体" w:hAnsi="宋体" w:eastAsia="宋体" w:cs="宋体"/>
          <w:color w:val="auto"/>
          <w:sz w:val="21"/>
          <w:szCs w:val="21"/>
        </w:rPr>
        <w:t>23.评标委员会及评标方法</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_Toc5524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"_Toc15231" </w:instrText>
      </w:r>
      <w:r>
        <w:rPr>
          <w:color w:val="auto"/>
        </w:rPr>
        <w:fldChar w:fldCharType="separate"/>
      </w:r>
      <w:r>
        <w:rPr>
          <w:rFonts w:hint="eastAsia" w:ascii="宋体" w:hAnsi="宋体" w:eastAsia="宋体" w:cs="宋体"/>
          <w:color w:val="auto"/>
          <w:sz w:val="21"/>
          <w:szCs w:val="21"/>
        </w:rPr>
        <w:t>24.评审原则及评标过程的保密</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_Toc15231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"_Toc3762" </w:instrText>
      </w:r>
      <w:r>
        <w:rPr>
          <w:color w:val="auto"/>
        </w:rPr>
        <w:fldChar w:fldCharType="separate"/>
      </w:r>
      <w:r>
        <w:rPr>
          <w:rFonts w:hint="eastAsia" w:ascii="宋体" w:hAnsi="宋体" w:eastAsia="宋体" w:cs="宋体"/>
          <w:color w:val="auto"/>
          <w:sz w:val="21"/>
          <w:szCs w:val="21"/>
        </w:rPr>
        <w:t>25.投标文件的初审</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_Toc3762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"_Toc21742" </w:instrText>
      </w:r>
      <w:r>
        <w:rPr>
          <w:color w:val="auto"/>
        </w:rPr>
        <w:fldChar w:fldCharType="separate"/>
      </w:r>
      <w:r>
        <w:rPr>
          <w:rFonts w:hint="eastAsia" w:ascii="宋体" w:hAnsi="宋体" w:eastAsia="宋体" w:cs="宋体"/>
          <w:color w:val="auto"/>
          <w:sz w:val="21"/>
          <w:szCs w:val="21"/>
        </w:rPr>
        <w:t>26.商务、技术、价格评审（具体评审项目详见投标资料表）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_Toc21742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"_Toc22192" </w:instrText>
      </w:r>
      <w:r>
        <w:rPr>
          <w:color w:val="auto"/>
        </w:rPr>
        <w:fldChar w:fldCharType="separate"/>
      </w:r>
      <w:r>
        <w:rPr>
          <w:rFonts w:hint="eastAsia" w:ascii="宋体" w:hAnsi="宋体" w:eastAsia="宋体" w:cs="宋体"/>
          <w:color w:val="auto"/>
          <w:sz w:val="21"/>
          <w:szCs w:val="21"/>
        </w:rPr>
        <w:t>27.优惠政策</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_Toc22192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"_Toc22591" </w:instrText>
      </w:r>
      <w:r>
        <w:rPr>
          <w:color w:val="auto"/>
        </w:rPr>
        <w:fldChar w:fldCharType="separate"/>
      </w:r>
      <w:r>
        <w:rPr>
          <w:rFonts w:hint="eastAsia" w:ascii="宋体" w:hAnsi="宋体" w:eastAsia="宋体" w:cs="宋体"/>
          <w:color w:val="auto"/>
          <w:sz w:val="21"/>
          <w:szCs w:val="21"/>
        </w:rPr>
        <w:t>28.纪律和保密事项</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_Toc22591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7"/>
        <w:tabs>
          <w:tab w:val="right" w:leader="dot" w:pos="8306"/>
          <w:tab w:val="clear" w:pos="8296"/>
        </w:tabs>
        <w:spacing w:after="0"/>
        <w:ind w:left="0" w:leftChars="0"/>
        <w:rPr>
          <w:rFonts w:ascii="宋体" w:hAnsi="宋体" w:eastAsia="宋体" w:cs="宋体"/>
          <w:color w:val="auto"/>
        </w:rPr>
      </w:pPr>
      <w:r>
        <w:rPr>
          <w:color w:val="auto"/>
        </w:rPr>
        <w:fldChar w:fldCharType="begin"/>
      </w:r>
      <w:r>
        <w:rPr>
          <w:color w:val="auto"/>
        </w:rPr>
        <w:instrText xml:space="preserve"> HYPERLINK \l "_Toc29310" </w:instrText>
      </w:r>
      <w:r>
        <w:rPr>
          <w:color w:val="auto"/>
        </w:rPr>
        <w:fldChar w:fldCharType="separate"/>
      </w:r>
      <w:r>
        <w:rPr>
          <w:rFonts w:hint="eastAsia" w:ascii="宋体" w:hAnsi="宋体" w:eastAsia="宋体" w:cs="宋体"/>
          <w:color w:val="auto"/>
        </w:rPr>
        <w:t>六、 授予合同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_Toc29310 </w:instrText>
      </w:r>
      <w:r>
        <w:rPr>
          <w:rFonts w:hint="eastAsia" w:ascii="宋体" w:hAnsi="宋体" w:eastAsia="宋体" w:cs="宋体"/>
          <w:color w:val="auto"/>
        </w:rPr>
        <w:fldChar w:fldCharType="separate"/>
      </w:r>
      <w:r>
        <w:rPr>
          <w:rFonts w:hint="eastAsia" w:ascii="宋体" w:hAnsi="宋体" w:eastAsia="宋体" w:cs="宋体"/>
          <w:color w:val="auto"/>
        </w:rPr>
        <w:t>41</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"_Toc27817" </w:instrText>
      </w:r>
      <w:r>
        <w:rPr>
          <w:color w:val="auto"/>
        </w:rPr>
        <w:fldChar w:fldCharType="separate"/>
      </w:r>
      <w:r>
        <w:rPr>
          <w:rFonts w:hint="eastAsia" w:ascii="宋体" w:hAnsi="宋体" w:eastAsia="宋体" w:cs="宋体"/>
          <w:color w:val="auto"/>
          <w:sz w:val="21"/>
          <w:szCs w:val="21"/>
        </w:rPr>
        <w:t>29.合同授予标准</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_Toc27817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"_Toc29283" </w:instrText>
      </w:r>
      <w:r>
        <w:rPr>
          <w:color w:val="auto"/>
        </w:rPr>
        <w:fldChar w:fldCharType="separate"/>
      </w:r>
      <w:r>
        <w:rPr>
          <w:rFonts w:hint="eastAsia" w:ascii="宋体" w:hAnsi="宋体" w:eastAsia="宋体" w:cs="宋体"/>
          <w:color w:val="auto"/>
          <w:sz w:val="21"/>
          <w:szCs w:val="21"/>
        </w:rPr>
        <w:t>30.发布采购结果</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_Toc29283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"_Toc22451" </w:instrText>
      </w:r>
      <w:r>
        <w:rPr>
          <w:color w:val="auto"/>
        </w:rPr>
        <w:fldChar w:fldCharType="separate"/>
      </w:r>
      <w:r>
        <w:rPr>
          <w:rFonts w:hint="eastAsia" w:ascii="宋体" w:hAnsi="宋体" w:eastAsia="宋体" w:cs="宋体"/>
          <w:color w:val="auto"/>
          <w:sz w:val="21"/>
          <w:szCs w:val="21"/>
        </w:rPr>
        <w:t>31.合同的签订与履行</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_Toc22451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"_Toc2744" </w:instrText>
      </w:r>
      <w:r>
        <w:rPr>
          <w:color w:val="auto"/>
        </w:rPr>
        <w:fldChar w:fldCharType="separate"/>
      </w:r>
      <w:r>
        <w:rPr>
          <w:rFonts w:hint="eastAsia" w:ascii="宋体" w:hAnsi="宋体" w:eastAsia="宋体" w:cs="宋体"/>
          <w:color w:val="auto"/>
          <w:sz w:val="21"/>
          <w:szCs w:val="21"/>
        </w:rPr>
        <w:t>32.履约保证金</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_Toc2744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7"/>
        <w:tabs>
          <w:tab w:val="right" w:leader="dot" w:pos="8306"/>
          <w:tab w:val="clear" w:pos="8296"/>
        </w:tabs>
        <w:spacing w:after="0"/>
        <w:ind w:left="0" w:leftChars="0"/>
        <w:rPr>
          <w:rFonts w:ascii="宋体" w:hAnsi="宋体" w:eastAsia="宋体" w:cs="宋体"/>
          <w:color w:val="auto"/>
        </w:rPr>
      </w:pPr>
      <w:r>
        <w:rPr>
          <w:color w:val="auto"/>
        </w:rPr>
        <w:fldChar w:fldCharType="begin"/>
      </w:r>
      <w:r>
        <w:rPr>
          <w:color w:val="auto"/>
        </w:rPr>
        <w:instrText xml:space="preserve"> HYPERLINK \l "_Toc13694" </w:instrText>
      </w:r>
      <w:r>
        <w:rPr>
          <w:color w:val="auto"/>
        </w:rPr>
        <w:fldChar w:fldCharType="separate"/>
      </w:r>
      <w:r>
        <w:rPr>
          <w:rFonts w:hint="eastAsia" w:ascii="宋体" w:hAnsi="宋体" w:eastAsia="宋体" w:cs="宋体"/>
          <w:color w:val="auto"/>
        </w:rPr>
        <w:t>七、询问或质疑</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_Toc13694 </w:instrText>
      </w:r>
      <w:r>
        <w:rPr>
          <w:rFonts w:hint="eastAsia" w:ascii="宋体" w:hAnsi="宋体" w:eastAsia="宋体" w:cs="宋体"/>
          <w:color w:val="auto"/>
        </w:rPr>
        <w:fldChar w:fldCharType="separate"/>
      </w:r>
      <w:r>
        <w:rPr>
          <w:rFonts w:hint="eastAsia" w:ascii="宋体" w:hAnsi="宋体" w:eastAsia="宋体" w:cs="宋体"/>
          <w:color w:val="auto"/>
        </w:rPr>
        <w:t>43</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"_Toc25498" </w:instrText>
      </w:r>
      <w:r>
        <w:rPr>
          <w:color w:val="auto"/>
        </w:rPr>
        <w:fldChar w:fldCharType="separate"/>
      </w:r>
      <w:r>
        <w:rPr>
          <w:rFonts w:hint="eastAsia" w:ascii="宋体" w:hAnsi="宋体" w:eastAsia="宋体" w:cs="宋体"/>
          <w:color w:val="auto"/>
          <w:sz w:val="21"/>
          <w:szCs w:val="21"/>
        </w:rPr>
        <w:t>33.询问</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_Toc25498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"_Toc8234" </w:instrText>
      </w:r>
      <w:r>
        <w:rPr>
          <w:color w:val="auto"/>
        </w:rPr>
        <w:fldChar w:fldCharType="separate"/>
      </w:r>
      <w:r>
        <w:rPr>
          <w:rFonts w:hint="eastAsia" w:ascii="宋体" w:hAnsi="宋体" w:eastAsia="宋体" w:cs="宋体"/>
          <w:color w:val="auto"/>
          <w:sz w:val="21"/>
          <w:szCs w:val="21"/>
        </w:rPr>
        <w:t>34.质疑</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_Toc8234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7"/>
        <w:tabs>
          <w:tab w:val="right" w:leader="dot" w:pos="8306"/>
          <w:tab w:val="clear" w:pos="8296"/>
        </w:tabs>
        <w:spacing w:after="0"/>
        <w:ind w:left="0" w:leftChars="0"/>
        <w:rPr>
          <w:rFonts w:ascii="宋体" w:hAnsi="宋体" w:eastAsia="宋体" w:cs="宋体"/>
          <w:color w:val="auto"/>
        </w:rPr>
      </w:pPr>
      <w:r>
        <w:rPr>
          <w:color w:val="auto"/>
        </w:rPr>
        <w:fldChar w:fldCharType="begin"/>
      </w:r>
      <w:r>
        <w:rPr>
          <w:color w:val="auto"/>
        </w:rPr>
        <w:instrText xml:space="preserve"> HYPERLINK \l "_Toc24383" </w:instrText>
      </w:r>
      <w:r>
        <w:rPr>
          <w:color w:val="auto"/>
        </w:rPr>
        <w:fldChar w:fldCharType="separate"/>
      </w:r>
      <w:r>
        <w:rPr>
          <w:rFonts w:hint="eastAsia" w:ascii="宋体" w:hAnsi="宋体" w:eastAsia="宋体" w:cs="宋体"/>
          <w:color w:val="auto"/>
        </w:rPr>
        <w:t>八、其他</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_Toc24383 </w:instrText>
      </w:r>
      <w:r>
        <w:rPr>
          <w:rFonts w:hint="eastAsia" w:ascii="宋体" w:hAnsi="宋体" w:eastAsia="宋体" w:cs="宋体"/>
          <w:color w:val="auto"/>
        </w:rPr>
        <w:fldChar w:fldCharType="separate"/>
      </w:r>
      <w:r>
        <w:rPr>
          <w:rFonts w:hint="eastAsia" w:ascii="宋体" w:hAnsi="宋体" w:eastAsia="宋体" w:cs="宋体"/>
          <w:color w:val="auto"/>
        </w:rPr>
        <w:t>44</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"_Toc10082" </w:instrText>
      </w:r>
      <w:r>
        <w:rPr>
          <w:color w:val="auto"/>
        </w:rPr>
        <w:fldChar w:fldCharType="separate"/>
      </w:r>
      <w:r>
        <w:rPr>
          <w:rFonts w:hint="eastAsia" w:ascii="宋体" w:hAnsi="宋体" w:eastAsia="宋体" w:cs="宋体"/>
          <w:color w:val="auto"/>
          <w:sz w:val="21"/>
          <w:szCs w:val="21"/>
        </w:rPr>
        <w:t>35.招标文件的解释权</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_Toc10082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4"/>
        <w:tabs>
          <w:tab w:val="right" w:leader="dot" w:pos="8306"/>
          <w:tab w:val="clear" w:pos="8296"/>
        </w:tabs>
        <w:spacing w:line="240" w:lineRule="auto"/>
        <w:ind w:left="0" w:leftChars="0"/>
        <w:rPr>
          <w:rFonts w:cs="宋体"/>
          <w:color w:val="auto"/>
          <w:sz w:val="21"/>
          <w:szCs w:val="21"/>
        </w:rPr>
      </w:pPr>
      <w:r>
        <w:rPr>
          <w:color w:val="auto"/>
        </w:rPr>
        <w:fldChar w:fldCharType="begin"/>
      </w:r>
      <w:r>
        <w:rPr>
          <w:color w:val="auto"/>
        </w:rPr>
        <w:instrText xml:space="preserve"> HYPERLINK \l "_Toc21448" </w:instrText>
      </w:r>
      <w:r>
        <w:rPr>
          <w:color w:val="auto"/>
        </w:rPr>
        <w:fldChar w:fldCharType="separate"/>
      </w:r>
      <w:r>
        <w:rPr>
          <w:rFonts w:hint="eastAsia" w:cs="宋体"/>
          <w:color w:val="auto"/>
          <w:sz w:val="21"/>
          <w:szCs w:val="21"/>
        </w:rPr>
        <w:t>第五部分 合同格式（仅供参考）</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_Toc21448 </w:instrText>
      </w:r>
      <w:r>
        <w:rPr>
          <w:rFonts w:hint="eastAsia" w:cs="宋体"/>
          <w:color w:val="auto"/>
          <w:sz w:val="21"/>
          <w:szCs w:val="21"/>
        </w:rPr>
        <w:fldChar w:fldCharType="separate"/>
      </w:r>
      <w:r>
        <w:rPr>
          <w:rFonts w:hint="eastAsia" w:cs="宋体"/>
          <w:color w:val="auto"/>
          <w:sz w:val="21"/>
          <w:szCs w:val="21"/>
        </w:rPr>
        <w:t>45</w:t>
      </w:r>
      <w:r>
        <w:rPr>
          <w:rFonts w:hint="eastAsia" w:cs="宋体"/>
          <w:color w:val="auto"/>
          <w:sz w:val="21"/>
          <w:szCs w:val="21"/>
        </w:rPr>
        <w:fldChar w:fldCharType="end"/>
      </w:r>
      <w:r>
        <w:rPr>
          <w:rFonts w:hint="eastAsia" w:cs="宋体"/>
          <w:color w:val="auto"/>
          <w:sz w:val="21"/>
          <w:szCs w:val="21"/>
        </w:rPr>
        <w:fldChar w:fldCharType="end"/>
      </w:r>
    </w:p>
    <w:p>
      <w:pPr>
        <w:pStyle w:val="7"/>
        <w:tabs>
          <w:tab w:val="right" w:leader="dot" w:pos="8306"/>
          <w:tab w:val="clear" w:pos="8296"/>
        </w:tabs>
        <w:spacing w:after="0"/>
        <w:ind w:left="0" w:leftChars="0"/>
        <w:rPr>
          <w:rFonts w:ascii="宋体" w:hAnsi="宋体" w:eastAsia="宋体" w:cs="宋体"/>
          <w:color w:val="auto"/>
        </w:rPr>
      </w:pPr>
      <w:r>
        <w:rPr>
          <w:color w:val="auto"/>
        </w:rPr>
        <w:fldChar w:fldCharType="begin"/>
      </w:r>
      <w:r>
        <w:rPr>
          <w:color w:val="auto"/>
        </w:rPr>
        <w:instrText xml:space="preserve"> HYPERLINK \l "_Toc16730" </w:instrText>
      </w:r>
      <w:r>
        <w:rPr>
          <w:color w:val="auto"/>
        </w:rPr>
        <w:fldChar w:fldCharType="separate"/>
      </w:r>
      <w:r>
        <w:rPr>
          <w:rFonts w:hint="eastAsia" w:ascii="宋体" w:hAnsi="宋体" w:eastAsia="宋体" w:cs="宋体"/>
          <w:color w:val="auto"/>
        </w:rPr>
        <w:t>合同格式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_Toc16730 </w:instrText>
      </w:r>
      <w:r>
        <w:rPr>
          <w:rFonts w:hint="eastAsia" w:ascii="宋体" w:hAnsi="宋体" w:eastAsia="宋体" w:cs="宋体"/>
          <w:color w:val="auto"/>
        </w:rPr>
        <w:fldChar w:fldCharType="separate"/>
      </w:r>
      <w:r>
        <w:rPr>
          <w:rFonts w:hint="eastAsia" w:ascii="宋体" w:hAnsi="宋体" w:eastAsia="宋体" w:cs="宋体"/>
          <w:color w:val="auto"/>
        </w:rPr>
        <w:t>45</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4"/>
        <w:tabs>
          <w:tab w:val="right" w:leader="dot" w:pos="8306"/>
          <w:tab w:val="clear" w:pos="8296"/>
        </w:tabs>
        <w:spacing w:line="240" w:lineRule="auto"/>
        <w:ind w:left="0" w:leftChars="0"/>
        <w:rPr>
          <w:rFonts w:cs="宋体"/>
          <w:color w:val="auto"/>
          <w:sz w:val="21"/>
          <w:szCs w:val="21"/>
        </w:rPr>
      </w:pPr>
      <w:r>
        <w:rPr>
          <w:color w:val="auto"/>
        </w:rPr>
        <w:fldChar w:fldCharType="begin"/>
      </w:r>
      <w:r>
        <w:rPr>
          <w:color w:val="auto"/>
        </w:rPr>
        <w:instrText xml:space="preserve"> HYPERLINK \l "_Toc23749" </w:instrText>
      </w:r>
      <w:r>
        <w:rPr>
          <w:color w:val="auto"/>
        </w:rPr>
        <w:fldChar w:fldCharType="separate"/>
      </w:r>
      <w:r>
        <w:rPr>
          <w:rFonts w:hint="eastAsia" w:cs="宋体"/>
          <w:color w:val="auto"/>
          <w:sz w:val="21"/>
          <w:szCs w:val="21"/>
        </w:rPr>
        <w:t>第六部分  附件－投标文件格式</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_Toc23749 </w:instrText>
      </w:r>
      <w:r>
        <w:rPr>
          <w:rFonts w:hint="eastAsia" w:cs="宋体"/>
          <w:color w:val="auto"/>
          <w:sz w:val="21"/>
          <w:szCs w:val="21"/>
        </w:rPr>
        <w:fldChar w:fldCharType="separate"/>
      </w:r>
      <w:r>
        <w:rPr>
          <w:rFonts w:hint="eastAsia" w:cs="宋体"/>
          <w:color w:val="auto"/>
          <w:sz w:val="21"/>
          <w:szCs w:val="21"/>
        </w:rPr>
        <w:t>48</w:t>
      </w:r>
      <w:r>
        <w:rPr>
          <w:rFonts w:hint="eastAsia" w:cs="宋体"/>
          <w:color w:val="auto"/>
          <w:sz w:val="21"/>
          <w:szCs w:val="21"/>
        </w:rPr>
        <w:fldChar w:fldCharType="end"/>
      </w:r>
      <w:r>
        <w:rPr>
          <w:rFonts w:hint="eastAsia"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"_Toc26830" </w:instrText>
      </w:r>
      <w:r>
        <w:rPr>
          <w:color w:val="auto"/>
        </w:rPr>
        <w:fldChar w:fldCharType="separate"/>
      </w:r>
      <w:r>
        <w:rPr>
          <w:rFonts w:hint="eastAsia" w:ascii="宋体" w:hAnsi="宋体" w:eastAsia="宋体" w:cs="宋体"/>
          <w:color w:val="auto"/>
          <w:sz w:val="21"/>
          <w:szCs w:val="21"/>
        </w:rPr>
        <w:t>附件1.投标文件目录</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_Toc26830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"_Toc18893" </w:instrText>
      </w:r>
      <w:r>
        <w:rPr>
          <w:color w:val="auto"/>
        </w:rPr>
        <w:fldChar w:fldCharType="separate"/>
      </w:r>
      <w:r>
        <w:rPr>
          <w:rFonts w:hint="eastAsia" w:ascii="宋体" w:hAnsi="宋体" w:eastAsia="宋体" w:cs="宋体"/>
          <w:color w:val="auto"/>
          <w:sz w:val="21"/>
          <w:szCs w:val="21"/>
        </w:rPr>
        <w:t>附件1-1 评分标准索引表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_Toc18893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"_Toc30640" </w:instrText>
      </w:r>
      <w:r>
        <w:rPr>
          <w:color w:val="auto"/>
        </w:rPr>
        <w:fldChar w:fldCharType="separate"/>
      </w:r>
      <w:r>
        <w:rPr>
          <w:rFonts w:hint="eastAsia" w:ascii="宋体" w:hAnsi="宋体" w:eastAsia="宋体" w:cs="宋体"/>
          <w:color w:val="auto"/>
          <w:sz w:val="21"/>
          <w:szCs w:val="21"/>
        </w:rPr>
        <w:t>附件2.投标书格式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_Toc30640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"_Toc6866" </w:instrText>
      </w:r>
      <w:r>
        <w:rPr>
          <w:color w:val="auto"/>
        </w:rPr>
        <w:fldChar w:fldCharType="separate"/>
      </w:r>
      <w:r>
        <w:rPr>
          <w:rFonts w:hint="eastAsia" w:ascii="宋体" w:hAnsi="宋体" w:eastAsia="宋体" w:cs="宋体"/>
          <w:color w:val="auto"/>
          <w:sz w:val="21"/>
          <w:szCs w:val="21"/>
        </w:rPr>
        <w:t>附件3.开标一览表格式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_Toc6866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"_Toc3254" </w:instrText>
      </w:r>
      <w:r>
        <w:rPr>
          <w:color w:val="auto"/>
        </w:rPr>
        <w:fldChar w:fldCharType="separate"/>
      </w:r>
      <w:r>
        <w:rPr>
          <w:rFonts w:hint="eastAsia" w:ascii="宋体" w:hAnsi="宋体" w:eastAsia="宋体" w:cs="宋体"/>
          <w:color w:val="auto"/>
          <w:sz w:val="21"/>
          <w:szCs w:val="21"/>
        </w:rPr>
        <w:t>附件4.投标分项报价表格式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_Toc3254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"_Toc16412" </w:instrText>
      </w:r>
      <w:r>
        <w:rPr>
          <w:color w:val="auto"/>
        </w:rPr>
        <w:fldChar w:fldCharType="separate"/>
      </w:r>
      <w:r>
        <w:rPr>
          <w:rFonts w:hint="eastAsia" w:ascii="宋体" w:hAnsi="宋体" w:eastAsia="宋体" w:cs="宋体"/>
          <w:color w:val="auto"/>
          <w:sz w:val="21"/>
          <w:szCs w:val="21"/>
        </w:rPr>
        <w:t>附件5.法定代表人证明书格式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_Toc16412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"_Toc31205" </w:instrText>
      </w:r>
      <w:r>
        <w:rPr>
          <w:color w:val="auto"/>
        </w:rPr>
        <w:fldChar w:fldCharType="separate"/>
      </w:r>
      <w:r>
        <w:rPr>
          <w:rFonts w:hint="eastAsia" w:ascii="宋体" w:hAnsi="宋体" w:eastAsia="宋体" w:cs="宋体"/>
          <w:color w:val="auto"/>
          <w:sz w:val="21"/>
          <w:szCs w:val="21"/>
        </w:rPr>
        <w:t>附件6.法定代表人授权书格式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_Toc31205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"_Toc17164" </w:instrText>
      </w:r>
      <w:r>
        <w:rPr>
          <w:color w:val="auto"/>
        </w:rPr>
        <w:fldChar w:fldCharType="separate"/>
      </w:r>
      <w:r>
        <w:rPr>
          <w:rFonts w:hint="eastAsia" w:ascii="宋体" w:hAnsi="宋体" w:eastAsia="宋体" w:cs="宋体"/>
          <w:color w:val="auto"/>
          <w:sz w:val="21"/>
          <w:szCs w:val="21"/>
        </w:rPr>
        <w:t>附件7.资格申明</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_Toc17164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"_Toc27839" </w:instrText>
      </w:r>
      <w:r>
        <w:rPr>
          <w:color w:val="auto"/>
        </w:rPr>
        <w:fldChar w:fldCharType="separate"/>
      </w:r>
      <w:r>
        <w:rPr>
          <w:rFonts w:hint="eastAsia" w:ascii="宋体" w:hAnsi="宋体" w:eastAsia="宋体" w:cs="宋体"/>
          <w:color w:val="auto"/>
          <w:sz w:val="21"/>
          <w:szCs w:val="21"/>
        </w:rPr>
        <w:t>附件8.营业执照</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_Toc27839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"_Toc26141" </w:instrText>
      </w:r>
      <w:r>
        <w:rPr>
          <w:color w:val="auto"/>
        </w:rPr>
        <w:fldChar w:fldCharType="separate"/>
      </w:r>
      <w:r>
        <w:rPr>
          <w:rFonts w:hint="eastAsia" w:ascii="宋体" w:hAnsi="宋体" w:eastAsia="宋体" w:cs="宋体"/>
          <w:color w:val="auto"/>
          <w:sz w:val="21"/>
          <w:szCs w:val="21"/>
        </w:rPr>
        <w:t>附件9.相关资质证明文件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_Toc26141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"_Toc17618" </w:instrText>
      </w:r>
      <w:r>
        <w:rPr>
          <w:color w:val="auto"/>
        </w:rPr>
        <w:fldChar w:fldCharType="separate"/>
      </w:r>
      <w:r>
        <w:rPr>
          <w:rFonts w:hint="eastAsia" w:ascii="宋体" w:hAnsi="宋体" w:eastAsia="宋体" w:cs="宋体"/>
          <w:color w:val="auto"/>
          <w:sz w:val="21"/>
          <w:szCs w:val="21"/>
        </w:rPr>
        <w:t>附件10.商务条款偏离表格式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_Toc17618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"_Toc32183" </w:instrText>
      </w:r>
      <w:r>
        <w:rPr>
          <w:color w:val="auto"/>
        </w:rPr>
        <w:fldChar w:fldCharType="separate"/>
      </w:r>
      <w:r>
        <w:rPr>
          <w:rFonts w:hint="eastAsia" w:ascii="宋体" w:hAnsi="宋体" w:eastAsia="宋体" w:cs="宋体"/>
          <w:color w:val="auto"/>
          <w:sz w:val="21"/>
          <w:szCs w:val="21"/>
        </w:rPr>
        <w:t>附件11.技术规格偏离表格式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_Toc32183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"_Toc29613" </w:instrText>
      </w:r>
      <w:r>
        <w:rPr>
          <w:color w:val="auto"/>
        </w:rPr>
        <w:fldChar w:fldCharType="separate"/>
      </w:r>
      <w:r>
        <w:rPr>
          <w:rFonts w:hint="eastAsia" w:ascii="宋体" w:hAnsi="宋体" w:eastAsia="宋体" w:cs="宋体"/>
          <w:color w:val="auto"/>
          <w:sz w:val="21"/>
          <w:szCs w:val="21"/>
        </w:rPr>
        <w:t>附件12.重要技术参数（▲）响应表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_Toc29613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"_Toc27674" </w:instrText>
      </w:r>
      <w:r>
        <w:rPr>
          <w:color w:val="auto"/>
        </w:rPr>
        <w:fldChar w:fldCharType="separate"/>
      </w:r>
      <w:r>
        <w:rPr>
          <w:rFonts w:hint="eastAsia" w:ascii="宋体" w:hAnsi="宋体" w:eastAsia="宋体" w:cs="宋体"/>
          <w:color w:val="auto"/>
          <w:sz w:val="21"/>
          <w:szCs w:val="21"/>
        </w:rPr>
        <w:t>附件13.业绩表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_Toc27674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"_Toc7860" </w:instrText>
      </w:r>
      <w:r>
        <w:rPr>
          <w:color w:val="auto"/>
        </w:rPr>
        <w:fldChar w:fldCharType="separate"/>
      </w:r>
      <w:r>
        <w:rPr>
          <w:rFonts w:hint="eastAsia" w:ascii="宋体" w:hAnsi="宋体" w:eastAsia="宋体" w:cs="宋体"/>
          <w:color w:val="auto"/>
          <w:sz w:val="21"/>
          <w:szCs w:val="21"/>
        </w:rPr>
        <w:t>附件14.项目实施方案格式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_Toc7860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"_Toc8596" </w:instrText>
      </w:r>
      <w:r>
        <w:rPr>
          <w:color w:val="auto"/>
        </w:rPr>
        <w:fldChar w:fldCharType="separate"/>
      </w:r>
      <w:r>
        <w:rPr>
          <w:rFonts w:hint="eastAsia" w:ascii="宋体" w:hAnsi="宋体" w:eastAsia="宋体" w:cs="宋体"/>
          <w:color w:val="auto"/>
          <w:sz w:val="21"/>
          <w:szCs w:val="21"/>
        </w:rPr>
        <w:t>附件15.实施本项目的有关人员资料表格式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_Toc8596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"_Toc21598" </w:instrText>
      </w:r>
      <w:r>
        <w:rPr>
          <w:color w:val="auto"/>
        </w:rPr>
        <w:fldChar w:fldCharType="separate"/>
      </w:r>
      <w:r>
        <w:rPr>
          <w:rFonts w:hint="eastAsia" w:ascii="宋体" w:hAnsi="宋体" w:eastAsia="宋体" w:cs="宋体"/>
          <w:color w:val="auto"/>
          <w:sz w:val="21"/>
          <w:szCs w:val="21"/>
        </w:rPr>
        <w:t>附件16.投标货物说明一览表格式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_Toc21598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"_Toc10094" </w:instrText>
      </w:r>
      <w:r>
        <w:rPr>
          <w:color w:val="auto"/>
        </w:rPr>
        <w:fldChar w:fldCharType="separate"/>
      </w:r>
      <w:r>
        <w:rPr>
          <w:rFonts w:hint="eastAsia" w:ascii="宋体" w:hAnsi="宋体" w:eastAsia="宋体" w:cs="宋体"/>
          <w:color w:val="auto"/>
          <w:sz w:val="21"/>
          <w:szCs w:val="21"/>
        </w:rPr>
        <w:t>附件17.在经营活动中没有重大违法记录的书面声明格式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_Toc10094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"_Toc21223" </w:instrText>
      </w:r>
      <w:r>
        <w:rPr>
          <w:color w:val="auto"/>
        </w:rPr>
        <w:fldChar w:fldCharType="separate"/>
      </w:r>
      <w:r>
        <w:rPr>
          <w:rFonts w:hint="eastAsia" w:ascii="宋体" w:hAnsi="宋体" w:eastAsia="宋体" w:cs="宋体"/>
          <w:color w:val="auto"/>
          <w:sz w:val="21"/>
          <w:szCs w:val="21"/>
        </w:rPr>
        <w:t>附件18.中小企业声明函（投标人为中小企业时适用）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_Toc21223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"_Toc28081" </w:instrText>
      </w:r>
      <w:r>
        <w:rPr>
          <w:color w:val="auto"/>
        </w:rPr>
        <w:fldChar w:fldCharType="separate"/>
      </w:r>
      <w:r>
        <w:rPr>
          <w:rFonts w:hint="eastAsia" w:ascii="宋体" w:hAnsi="宋体" w:eastAsia="宋体" w:cs="宋体"/>
          <w:color w:val="auto"/>
          <w:sz w:val="21"/>
          <w:szCs w:val="21"/>
        </w:rPr>
        <w:t>附件19.《残疾人福利性单位声明函》（残疾人福利性单位适用）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_Toc28081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"_Toc25634" </w:instrText>
      </w:r>
      <w:r>
        <w:rPr>
          <w:color w:val="auto"/>
        </w:rPr>
        <w:fldChar w:fldCharType="separate"/>
      </w:r>
      <w:r>
        <w:rPr>
          <w:rFonts w:hint="eastAsia" w:ascii="宋体" w:hAnsi="宋体" w:eastAsia="宋体" w:cs="宋体"/>
          <w:color w:val="auto"/>
          <w:sz w:val="21"/>
          <w:szCs w:val="21"/>
        </w:rPr>
        <w:t>附件20.投标保证金汇入情况说明格式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_Toc25634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70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"_Toc4363" </w:instrText>
      </w:r>
      <w:r>
        <w:rPr>
          <w:color w:val="auto"/>
        </w:rPr>
        <w:fldChar w:fldCharType="separate"/>
      </w:r>
      <w:r>
        <w:rPr>
          <w:rFonts w:hint="eastAsia" w:ascii="宋体" w:hAnsi="宋体" w:eastAsia="宋体" w:cs="宋体"/>
          <w:color w:val="auto"/>
          <w:sz w:val="21"/>
          <w:szCs w:val="21"/>
        </w:rPr>
        <w:t>附件21.政府采购投标担保函</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_Toc4363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72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"_Toc27534" </w:instrText>
      </w:r>
      <w:r>
        <w:rPr>
          <w:color w:val="auto"/>
        </w:rPr>
        <w:fldChar w:fldCharType="separate"/>
      </w:r>
      <w:r>
        <w:rPr>
          <w:rFonts w:hint="eastAsia" w:ascii="宋体" w:hAnsi="宋体" w:eastAsia="宋体" w:cs="宋体"/>
          <w:color w:val="auto"/>
          <w:sz w:val="21"/>
          <w:szCs w:val="21"/>
        </w:rPr>
        <w:t>附件22.政府采购履约担保函</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_Toc27534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75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"_Toc17023" </w:instrText>
      </w:r>
      <w:r>
        <w:rPr>
          <w:color w:val="auto"/>
        </w:rPr>
        <w:fldChar w:fldCharType="separate"/>
      </w:r>
      <w:r>
        <w:rPr>
          <w:rFonts w:hint="eastAsia" w:ascii="宋体" w:hAnsi="宋体" w:eastAsia="宋体" w:cs="宋体"/>
          <w:color w:val="auto"/>
          <w:sz w:val="21"/>
          <w:szCs w:val="21"/>
        </w:rPr>
        <w:t>附件23.获取招标文件登记表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_Toc17023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78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ind w:left="0" w:leftChars="0"/>
        <w:rPr>
          <w:rFonts w:ascii="宋体" w:hAnsi="宋体" w:eastAsia="宋体" w:cs="宋体"/>
          <w:color w:val="auto"/>
          <w:sz w:val="21"/>
          <w:szCs w:val="21"/>
        </w:rPr>
      </w:pPr>
      <w:r>
        <w:rPr>
          <w:color w:val="auto"/>
        </w:rPr>
        <w:fldChar w:fldCharType="begin"/>
      </w:r>
      <w:r>
        <w:rPr>
          <w:color w:val="auto"/>
        </w:rPr>
        <w:instrText xml:space="preserve"> HYPERLINK \l "_Toc11182" </w:instrText>
      </w:r>
      <w:r>
        <w:rPr>
          <w:color w:val="auto"/>
        </w:rPr>
        <w:fldChar w:fldCharType="separate"/>
      </w:r>
      <w:r>
        <w:rPr>
          <w:rFonts w:hint="eastAsia" w:ascii="宋体" w:hAnsi="宋体" w:eastAsia="宋体" w:cs="宋体"/>
          <w:color w:val="auto"/>
          <w:sz w:val="21"/>
          <w:szCs w:val="21"/>
        </w:rPr>
        <w:t>附件24.质疑函范本</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_Toc11182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79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tabs>
          <w:tab w:val="right" w:leader="dot" w:pos="8306"/>
          <w:tab w:val="clear" w:pos="8296"/>
        </w:tabs>
        <w:spacing w:after="0" w:line="360" w:lineRule="auto"/>
        <w:ind w:left="0" w:leftChars="0"/>
        <w:jc w:val="both"/>
        <w:rPr>
          <w:rFonts w:cs="宋体"/>
          <w:color w:val="auto"/>
          <w:szCs w:val="21"/>
        </w:rPr>
      </w:pPr>
      <w:r>
        <w:rPr>
          <w:rFonts w:hint="eastAsia" w:ascii="宋体" w:hAnsi="宋体" w:eastAsia="宋体" w:cs="宋体"/>
          <w:color w:val="auto"/>
          <w:sz w:val="21"/>
          <w:szCs w:val="21"/>
        </w:rPr>
        <w:fldChar w:fldCharType="end"/>
      </w:r>
    </w:p>
    <w:p>
      <w:pPr>
        <w:rPr>
          <w:rFonts w:ascii="宋体" w:hAnsi="宋体" w:eastAsia="宋体" w:cs="宋体"/>
          <w:color w:val="auto"/>
          <w:szCs w:val="21"/>
        </w:rPr>
      </w:pPr>
      <w:r>
        <w:rPr>
          <w:rFonts w:hint="eastAsia" w:ascii="宋体" w:hAnsi="宋体" w:eastAsia="宋体" w:cs="宋体"/>
          <w:color w:val="auto"/>
          <w:szCs w:val="21"/>
        </w:rPr>
        <w:br w:type="page"/>
      </w:r>
      <w:bookmarkStart w:id="270" w:name="_GoBack"/>
      <w:bookmarkEnd w:id="270"/>
    </w:p>
    <w:p>
      <w:pPr>
        <w:pStyle w:val="14"/>
        <w:tabs>
          <w:tab w:val="right" w:leader="dot" w:pos="8306"/>
          <w:tab w:val="clear" w:pos="8296"/>
        </w:tabs>
        <w:spacing w:line="240" w:lineRule="auto"/>
        <w:ind w:left="0" w:leftChars="0"/>
        <w:jc w:val="both"/>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第一部分 投标邀请</w:t>
      </w:r>
    </w:p>
    <w:p>
      <w:pPr>
        <w:pStyle w:val="5"/>
        <w:spacing w:before="0" w:after="0" w:line="360" w:lineRule="auto"/>
        <w:jc w:val="center"/>
        <w:rPr>
          <w:rFonts w:ascii="宋体" w:hAnsi="宋体" w:eastAsia="宋体" w:cs="宋体"/>
          <w:color w:val="auto"/>
        </w:rPr>
      </w:pPr>
      <w:bookmarkStart w:id="0" w:name="_Toc1420"/>
      <w:r>
        <w:rPr>
          <w:rFonts w:hint="eastAsia" w:ascii="宋体" w:hAnsi="宋体" w:eastAsia="宋体" w:cs="宋体"/>
          <w:color w:val="auto"/>
        </w:rPr>
        <w:t>投标邀请书</w:t>
      </w:r>
      <w:bookmarkEnd w:id="0"/>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广东三方诚信招标有限公司东莞分公司</w:t>
      </w:r>
      <w:r>
        <w:rPr>
          <w:rFonts w:ascii="宋体" w:hAnsi="宋体" w:eastAsia="宋体"/>
          <w:color w:val="auto"/>
          <w:sz w:val="21"/>
          <w:szCs w:val="21"/>
        </w:rPr>
        <w:t>（以下简称</w:t>
      </w:r>
      <w:r>
        <w:rPr>
          <w:rFonts w:hint="eastAsia" w:ascii="宋体" w:hAnsi="宋体" w:eastAsia="宋体"/>
          <w:color w:val="auto"/>
          <w:sz w:val="21"/>
          <w:szCs w:val="21"/>
        </w:rPr>
        <w:t>“采购代理机构”</w:t>
      </w:r>
      <w:r>
        <w:rPr>
          <w:rFonts w:ascii="宋体" w:hAnsi="宋体" w:eastAsia="宋体"/>
          <w:color w:val="auto"/>
          <w:sz w:val="21"/>
          <w:szCs w:val="21"/>
        </w:rPr>
        <w:t>）受</w:t>
      </w:r>
      <w:r>
        <w:rPr>
          <w:rFonts w:hint="eastAsia" w:ascii="宋体" w:hAnsi="宋体" w:eastAsia="宋体"/>
          <w:b/>
          <w:color w:val="auto"/>
          <w:sz w:val="21"/>
          <w:szCs w:val="21"/>
          <w:u w:val="single"/>
        </w:rPr>
        <w:t>东莞市公安局石排分局</w:t>
      </w:r>
      <w:r>
        <w:rPr>
          <w:rFonts w:ascii="宋体" w:hAnsi="宋体" w:eastAsia="宋体"/>
          <w:color w:val="auto"/>
          <w:sz w:val="21"/>
          <w:szCs w:val="21"/>
        </w:rPr>
        <w:t>（以下简称</w:t>
      </w:r>
      <w:r>
        <w:rPr>
          <w:rFonts w:hint="eastAsia" w:ascii="宋体" w:hAnsi="宋体" w:eastAsia="宋体"/>
          <w:color w:val="auto"/>
          <w:sz w:val="21"/>
          <w:szCs w:val="21"/>
        </w:rPr>
        <w:t>“采购人”</w:t>
      </w:r>
      <w:r>
        <w:rPr>
          <w:rFonts w:ascii="宋体" w:hAnsi="宋体" w:eastAsia="宋体"/>
          <w:color w:val="auto"/>
          <w:sz w:val="21"/>
          <w:szCs w:val="21"/>
        </w:rPr>
        <w:t>）委托，</w:t>
      </w:r>
      <w:r>
        <w:rPr>
          <w:rFonts w:hint="eastAsia" w:ascii="宋体" w:hAnsi="宋体" w:eastAsia="宋体"/>
          <w:color w:val="auto"/>
          <w:sz w:val="21"/>
          <w:szCs w:val="21"/>
        </w:rPr>
        <w:t>现</w:t>
      </w:r>
      <w:r>
        <w:rPr>
          <w:rFonts w:ascii="宋体" w:hAnsi="宋体" w:eastAsia="宋体"/>
          <w:color w:val="auto"/>
          <w:sz w:val="21"/>
          <w:szCs w:val="21"/>
        </w:rPr>
        <w:t>就</w:t>
      </w:r>
      <w:r>
        <w:rPr>
          <w:rFonts w:hint="eastAsia" w:ascii="宋体" w:hAnsi="宋体" w:eastAsia="宋体"/>
          <w:b/>
          <w:color w:val="auto"/>
          <w:sz w:val="21"/>
          <w:szCs w:val="21"/>
          <w:u w:val="single"/>
        </w:rPr>
        <w:t>东莞市公安局石排分局村级视频联网及智能感知系统项目</w:t>
      </w:r>
      <w:r>
        <w:rPr>
          <w:rFonts w:hint="eastAsia" w:ascii="宋体" w:hAnsi="宋体" w:eastAsia="宋体"/>
          <w:color w:val="auto"/>
          <w:sz w:val="21"/>
          <w:szCs w:val="21"/>
        </w:rPr>
        <w:t>（采购项目编号：</w:t>
      </w:r>
      <w:r>
        <w:rPr>
          <w:rFonts w:hint="eastAsia" w:ascii="宋体" w:hAnsi="宋体" w:eastAsia="宋体"/>
          <w:b/>
          <w:color w:val="auto"/>
          <w:sz w:val="21"/>
          <w:szCs w:val="21"/>
          <w:u w:val="single"/>
        </w:rPr>
        <w:t>441900-30-201912-3020401-0003</w:t>
      </w:r>
      <w:r>
        <w:rPr>
          <w:rFonts w:hint="eastAsia" w:ascii="宋体" w:hAnsi="宋体" w:eastAsia="宋体"/>
          <w:color w:val="auto"/>
          <w:sz w:val="21"/>
          <w:szCs w:val="21"/>
        </w:rPr>
        <w:t>）</w:t>
      </w:r>
      <w:r>
        <w:rPr>
          <w:rFonts w:hint="eastAsia" w:ascii="宋体" w:hAnsi="宋体" w:eastAsia="宋体" w:cs="Times New Roman"/>
          <w:color w:val="auto"/>
          <w:sz w:val="21"/>
          <w:szCs w:val="21"/>
        </w:rPr>
        <w:t>进行国内公开招标采购</w:t>
      </w:r>
      <w:r>
        <w:rPr>
          <w:rFonts w:hint="eastAsia" w:ascii="宋体" w:hAnsi="宋体" w:eastAsia="宋体"/>
          <w:color w:val="auto"/>
          <w:sz w:val="21"/>
          <w:szCs w:val="21"/>
        </w:rPr>
        <w:t>，欢迎符合招标文件要求的国内投标人参加投标</w:t>
      </w:r>
      <w:r>
        <w:rPr>
          <w:rFonts w:ascii="宋体" w:hAnsi="宋体" w:eastAsia="宋体"/>
          <w:color w:val="auto"/>
          <w:sz w:val="21"/>
          <w:szCs w:val="21"/>
        </w:rPr>
        <w:t>。有关事项如下：</w:t>
      </w:r>
    </w:p>
    <w:p>
      <w:pPr>
        <w:spacing w:after="0" w:line="360" w:lineRule="auto"/>
        <w:ind w:firstLine="413" w:firstLineChars="196"/>
        <w:rPr>
          <w:rFonts w:ascii="宋体" w:hAnsi="宋体" w:eastAsia="宋体"/>
          <w:b/>
          <w:color w:val="auto"/>
          <w:sz w:val="21"/>
          <w:szCs w:val="21"/>
        </w:rPr>
      </w:pPr>
    </w:p>
    <w:p>
      <w:pPr>
        <w:spacing w:after="0" w:line="360" w:lineRule="auto"/>
        <w:ind w:firstLine="413" w:firstLineChars="196"/>
        <w:rPr>
          <w:rFonts w:ascii="宋体" w:hAnsi="宋体" w:eastAsia="宋体"/>
          <w:b/>
          <w:color w:val="auto"/>
          <w:sz w:val="21"/>
          <w:szCs w:val="21"/>
        </w:rPr>
      </w:pPr>
      <w:r>
        <w:rPr>
          <w:rFonts w:hint="eastAsia" w:ascii="宋体" w:hAnsi="宋体" w:eastAsia="宋体"/>
          <w:b/>
          <w:color w:val="auto"/>
          <w:sz w:val="21"/>
          <w:szCs w:val="21"/>
        </w:rPr>
        <w:t>一、招标项目的名称、用途、简要技术要求或者招标项目的性质</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1、项目内容：</w:t>
      </w:r>
      <w:r>
        <w:rPr>
          <w:rFonts w:hint="eastAsia" w:ascii="宋体" w:hAnsi="宋体" w:eastAsia="宋体"/>
          <w:color w:val="auto"/>
          <w:sz w:val="21"/>
          <w:szCs w:val="21"/>
          <w:u w:val="single"/>
        </w:rPr>
        <w:t xml:space="preserve"> </w:t>
      </w:r>
      <w:r>
        <w:rPr>
          <w:rFonts w:hint="eastAsia" w:ascii="宋体" w:hAnsi="宋体" w:eastAsia="宋体"/>
          <w:b/>
          <w:color w:val="auto"/>
          <w:sz w:val="21"/>
          <w:szCs w:val="21"/>
          <w:u w:val="single"/>
        </w:rPr>
        <w:t xml:space="preserve">东莞市公安局石排分局村级视频联网及智能感知系统 </w:t>
      </w:r>
      <w:r>
        <w:rPr>
          <w:rFonts w:hint="eastAsia" w:ascii="宋体" w:hAnsi="宋体" w:eastAsia="宋体"/>
          <w:color w:val="auto"/>
          <w:sz w:val="21"/>
          <w:szCs w:val="21"/>
        </w:rPr>
        <w:t>采购一项，预算：</w:t>
      </w:r>
      <w:r>
        <w:rPr>
          <w:rFonts w:hint="eastAsia" w:ascii="宋体" w:hAnsi="宋体" w:eastAsia="宋体"/>
          <w:b/>
          <w:color w:val="auto"/>
          <w:sz w:val="21"/>
          <w:szCs w:val="21"/>
          <w:u w:val="single"/>
        </w:rPr>
        <w:t>¥3,401,559.34</w:t>
      </w:r>
      <w:r>
        <w:rPr>
          <w:rFonts w:hint="eastAsia" w:ascii="宋体" w:hAnsi="宋体" w:eastAsia="宋体"/>
          <w:color w:val="auto"/>
          <w:sz w:val="21"/>
          <w:szCs w:val="21"/>
        </w:rPr>
        <w:t>元。</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2、简要技术要求或招标项目的性质：详细内容请参阅招标文件第三部分《用户需求书》。</w:t>
      </w:r>
    </w:p>
    <w:p>
      <w:pPr>
        <w:spacing w:after="0" w:line="360" w:lineRule="auto"/>
        <w:ind w:firstLine="413" w:firstLineChars="196"/>
        <w:rPr>
          <w:rFonts w:ascii="宋体" w:hAnsi="宋体" w:eastAsia="宋体"/>
          <w:b/>
          <w:color w:val="auto"/>
          <w:sz w:val="21"/>
          <w:szCs w:val="21"/>
        </w:rPr>
      </w:pPr>
    </w:p>
    <w:p>
      <w:pPr>
        <w:spacing w:after="0" w:line="360" w:lineRule="auto"/>
        <w:ind w:firstLine="413" w:firstLineChars="196"/>
        <w:rPr>
          <w:rFonts w:ascii="宋体" w:hAnsi="宋体" w:eastAsia="宋体"/>
          <w:b/>
          <w:color w:val="auto"/>
          <w:sz w:val="21"/>
          <w:szCs w:val="21"/>
        </w:rPr>
      </w:pPr>
      <w:r>
        <w:rPr>
          <w:rFonts w:hint="eastAsia" w:ascii="宋体" w:hAnsi="宋体" w:eastAsia="宋体"/>
          <w:b/>
          <w:color w:val="auto"/>
          <w:sz w:val="21"/>
          <w:szCs w:val="21"/>
        </w:rPr>
        <w:t>二、投标人资格要求</w:t>
      </w:r>
    </w:p>
    <w:p>
      <w:pPr>
        <w:spacing w:after="0" w:line="360" w:lineRule="auto"/>
        <w:ind w:firstLine="411" w:firstLineChars="196"/>
        <w:rPr>
          <w:rFonts w:ascii="宋体" w:hAnsi="宋体" w:eastAsia="宋体"/>
          <w:color w:val="auto"/>
          <w:sz w:val="21"/>
          <w:szCs w:val="21"/>
        </w:rPr>
      </w:pPr>
      <w:r>
        <w:rPr>
          <w:rFonts w:hint="eastAsia" w:ascii="宋体" w:hAnsi="宋体" w:eastAsia="宋体"/>
          <w:color w:val="auto"/>
          <w:sz w:val="21"/>
          <w:szCs w:val="21"/>
        </w:rPr>
        <w:t>1、一般要求：</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（1）投标人须为在中华人民共和国境内登记注册的具有独立承担民事责任能力的法人或经由总公司授权的分公司或其他组织，符合《中华人民共和国政府采购法》第二十二条规定（需提供书面承诺）；</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（2）参加采购活动前三年内，在经营活动中没有重大违法记录（须提供书面声明）；</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 xml:space="preserve">（3）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spacing w:after="0" w:line="360" w:lineRule="auto"/>
        <w:ind w:firstLine="411" w:firstLineChars="196"/>
        <w:rPr>
          <w:rFonts w:ascii="宋体" w:hAnsi="宋体" w:eastAsia="宋体"/>
          <w:color w:val="auto"/>
          <w:sz w:val="21"/>
          <w:szCs w:val="21"/>
        </w:rPr>
      </w:pPr>
      <w:r>
        <w:rPr>
          <w:rFonts w:hint="eastAsia" w:ascii="宋体" w:hAnsi="宋体" w:eastAsia="宋体"/>
          <w:color w:val="auto"/>
          <w:sz w:val="21"/>
          <w:szCs w:val="21"/>
        </w:rPr>
        <w:t>2、特殊要求：</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投标人（含其上级或集团公司）具有省级或以上公安部门颁发的《安全技术防范系统设计、施工、维修资格证》三级（或以上）资质（非广东省企业须提供所在地省（自治区、直辖市）公安厅（局）发放的有效的安全技术防范系统设计、施工、维修资格证书，或者是省级以上安防行业协会颁发的有效的安防工程企业设计施工维护能力证书及广东省公安部门颁发的同等级备案证明）。</w:t>
      </w:r>
    </w:p>
    <w:p>
      <w:pPr>
        <w:rPr>
          <w:rFonts w:ascii="宋体" w:hAnsi="宋体" w:eastAsia="宋体"/>
          <w:b/>
          <w:color w:val="auto"/>
          <w:sz w:val="21"/>
          <w:szCs w:val="21"/>
        </w:rPr>
      </w:pPr>
      <w:r>
        <w:rPr>
          <w:rFonts w:hint="eastAsia" w:ascii="宋体" w:hAnsi="宋体" w:eastAsia="宋体"/>
          <w:b/>
          <w:color w:val="auto"/>
          <w:sz w:val="21"/>
          <w:szCs w:val="21"/>
        </w:rPr>
        <w:br w:type="page"/>
      </w:r>
    </w:p>
    <w:p>
      <w:pPr>
        <w:spacing w:after="0" w:line="360" w:lineRule="auto"/>
        <w:ind w:firstLine="413" w:firstLineChars="196"/>
        <w:rPr>
          <w:rFonts w:ascii="宋体" w:hAnsi="宋体" w:eastAsia="宋体"/>
          <w:b/>
          <w:color w:val="auto"/>
          <w:sz w:val="21"/>
          <w:szCs w:val="21"/>
        </w:rPr>
      </w:pPr>
      <w:r>
        <w:rPr>
          <w:rFonts w:hint="eastAsia" w:ascii="宋体" w:hAnsi="宋体" w:eastAsia="宋体"/>
          <w:b/>
          <w:color w:val="auto"/>
          <w:sz w:val="21"/>
          <w:szCs w:val="21"/>
        </w:rPr>
        <w:t>三、项目公示时间、招标文件领购时间、地点、方式</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1、项目公示时间：2019年</w:t>
      </w:r>
      <w:r>
        <w:rPr>
          <w:rFonts w:hint="eastAsia" w:ascii="宋体" w:hAnsi="宋体" w:eastAsia="宋体"/>
          <w:color w:val="auto"/>
          <w:sz w:val="21"/>
          <w:szCs w:val="21"/>
          <w:lang w:val="en-US" w:eastAsia="zh-CN"/>
        </w:rPr>
        <w:t>12</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26</w:t>
      </w:r>
      <w:r>
        <w:rPr>
          <w:rFonts w:hint="eastAsia" w:ascii="宋体" w:hAnsi="宋体" w:eastAsia="宋体"/>
          <w:color w:val="auto"/>
          <w:sz w:val="21"/>
          <w:szCs w:val="21"/>
        </w:rPr>
        <w:t>日起至20</w:t>
      </w:r>
      <w:r>
        <w:rPr>
          <w:rFonts w:hint="eastAsia" w:ascii="宋体" w:hAnsi="宋体" w:eastAsia="宋体"/>
          <w:color w:val="auto"/>
          <w:sz w:val="21"/>
          <w:szCs w:val="21"/>
          <w:lang w:val="en-US" w:eastAsia="zh-CN"/>
        </w:rPr>
        <w:t>20</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1</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日。</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2、招标文件领购</w:t>
      </w:r>
      <w:r>
        <w:rPr>
          <w:rFonts w:ascii="宋体" w:hAnsi="宋体" w:eastAsia="宋体"/>
          <w:color w:val="auto"/>
          <w:sz w:val="21"/>
          <w:szCs w:val="21"/>
        </w:rPr>
        <w:t>时间：</w:t>
      </w:r>
      <w:r>
        <w:rPr>
          <w:rFonts w:hint="eastAsia" w:ascii="宋体" w:hAnsi="宋体" w:eastAsia="宋体"/>
          <w:color w:val="auto"/>
          <w:sz w:val="21"/>
          <w:szCs w:val="21"/>
        </w:rPr>
        <w:t>2019年</w:t>
      </w:r>
      <w:r>
        <w:rPr>
          <w:rFonts w:hint="eastAsia" w:ascii="宋体" w:hAnsi="宋体" w:eastAsia="宋体"/>
          <w:color w:val="auto"/>
          <w:sz w:val="21"/>
          <w:szCs w:val="21"/>
          <w:lang w:val="en-US" w:eastAsia="zh-CN"/>
        </w:rPr>
        <w:t>12</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26</w:t>
      </w:r>
      <w:r>
        <w:rPr>
          <w:rFonts w:hint="eastAsia" w:ascii="宋体" w:hAnsi="宋体" w:eastAsia="宋体"/>
          <w:color w:val="auto"/>
          <w:sz w:val="21"/>
          <w:szCs w:val="21"/>
        </w:rPr>
        <w:t>日起至20</w:t>
      </w:r>
      <w:r>
        <w:rPr>
          <w:rFonts w:hint="eastAsia" w:ascii="宋体" w:hAnsi="宋体" w:eastAsia="宋体"/>
          <w:color w:val="auto"/>
          <w:sz w:val="21"/>
          <w:szCs w:val="21"/>
          <w:lang w:val="en-US" w:eastAsia="zh-CN"/>
        </w:rPr>
        <w:t>20</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1</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 xml:space="preserve">日（节假日除外），上午9：00～12：00，下午14：30～17：30（北京时间）。 </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注：（1）投标人可自行打印招标文件中的“附件23 获取招标文件登记表”进行填写并带到现场进行领购，并现场领取发票。（招标文件领购价：人民币150元整）</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（2）现场支持现金支付、微信支付、支付宝支付等支付方式，请将相应表格交予我司黄小姐。</w:t>
      </w:r>
    </w:p>
    <w:p>
      <w:pPr>
        <w:spacing w:after="0" w:line="360" w:lineRule="auto"/>
        <w:ind w:firstLine="420" w:firstLineChars="200"/>
        <w:rPr>
          <w:color w:val="auto"/>
        </w:rPr>
      </w:pPr>
      <w:r>
        <w:rPr>
          <w:rFonts w:hint="eastAsia" w:ascii="宋体" w:hAnsi="宋体" w:eastAsia="宋体"/>
          <w:color w:val="auto"/>
          <w:sz w:val="21"/>
          <w:szCs w:val="21"/>
        </w:rPr>
        <w:t>（3）招标文件电子版可在东莞市政府采购网（http://czj.dg.gov.cn/dggp/）或广东省政府采购网（http://www.gdgpo.gov.cn）相关招标信息公告下自行下载。</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3、招标文件领购地点：东莞市南城街道鸿福西路81号国际商会大厦706室。</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联系人：黄雯静</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联系电话：0769-21682660</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4、招标文件领购方式：现场领购。</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投标人在领购招标文件时须提供如下证明材料：《营业执照》复印件（加盖公章）或《事业单位法人证书》复印件（加盖公章）或其他主体证书复印件（加盖公章），自然人参加投标须提供自然人的身份证明材料；</w:t>
      </w:r>
    </w:p>
    <w:p>
      <w:pPr>
        <w:spacing w:after="0" w:line="360" w:lineRule="auto"/>
        <w:ind w:firstLine="420" w:firstLineChars="200"/>
        <w:rPr>
          <w:color w:val="auto"/>
        </w:rPr>
      </w:pPr>
      <w:r>
        <w:rPr>
          <w:rFonts w:hint="eastAsia" w:ascii="宋体" w:hAnsi="宋体" w:eastAsia="宋体"/>
          <w:color w:val="auto"/>
          <w:sz w:val="21"/>
          <w:szCs w:val="21"/>
        </w:rPr>
        <w:t>注：凡参与东莞市政府采购活动的供应商，应通过东莞市政府采购网（http://czj.dg.gov.cn/dggp/）或东莞市公共资源交易网（http://ggzy.dg.gov.cn）进行建档入库，已在市公共资源交易中心入库（企业身份为“政府采购类”）的除外。入库路径：1.东莞市政府采购网-供应商注册；2.东莞市公共资源交易网-企业信息登记-公共资源交易企业库。各供应商在入库过程中遇到问题的，请及时与市公共资源交易中心联系。入库信息管理联系人：杨琳,联系电话：0769-28330677，系统技术人员联系电话：0769-28330604。</w:t>
      </w:r>
    </w:p>
    <w:p>
      <w:pPr>
        <w:spacing w:after="0" w:line="360" w:lineRule="auto"/>
        <w:ind w:firstLine="411" w:firstLineChars="196"/>
        <w:rPr>
          <w:rFonts w:ascii="宋体" w:hAnsi="宋体" w:eastAsia="宋体"/>
          <w:color w:val="auto"/>
          <w:sz w:val="21"/>
          <w:szCs w:val="21"/>
        </w:rPr>
      </w:pPr>
    </w:p>
    <w:p>
      <w:pPr>
        <w:spacing w:after="0" w:line="360" w:lineRule="auto"/>
        <w:ind w:firstLine="413" w:firstLineChars="196"/>
        <w:rPr>
          <w:rFonts w:ascii="宋体" w:hAnsi="宋体" w:eastAsia="宋体"/>
          <w:b/>
          <w:color w:val="auto"/>
          <w:sz w:val="21"/>
          <w:szCs w:val="21"/>
        </w:rPr>
      </w:pPr>
      <w:r>
        <w:rPr>
          <w:rFonts w:hint="eastAsia" w:ascii="宋体" w:hAnsi="宋体" w:eastAsia="宋体"/>
          <w:b/>
          <w:color w:val="auto"/>
          <w:sz w:val="21"/>
          <w:szCs w:val="21"/>
        </w:rPr>
        <w:t>四、投标截止时间、开标时间及地点</w:t>
      </w:r>
    </w:p>
    <w:p>
      <w:pPr>
        <w:spacing w:after="0" w:line="360" w:lineRule="auto"/>
        <w:ind w:firstLine="420" w:firstLineChars="200"/>
        <w:rPr>
          <w:rFonts w:ascii="宋体" w:hAnsi="宋体" w:eastAsia="宋体"/>
          <w:bCs/>
          <w:color w:val="auto"/>
          <w:sz w:val="21"/>
          <w:szCs w:val="21"/>
        </w:rPr>
      </w:pPr>
      <w:r>
        <w:rPr>
          <w:rFonts w:hint="eastAsia" w:ascii="宋体" w:hAnsi="宋体" w:eastAsia="宋体"/>
          <w:bCs/>
          <w:color w:val="auto"/>
          <w:sz w:val="21"/>
          <w:szCs w:val="21"/>
        </w:rPr>
        <w:t>1、递交投标文件时间：20</w:t>
      </w:r>
      <w:r>
        <w:rPr>
          <w:rFonts w:hint="eastAsia" w:ascii="宋体" w:hAnsi="宋体" w:eastAsia="宋体"/>
          <w:bCs/>
          <w:color w:val="auto"/>
          <w:sz w:val="21"/>
          <w:szCs w:val="21"/>
          <w:lang w:val="en-US" w:eastAsia="zh-CN"/>
        </w:rPr>
        <w:t>20</w:t>
      </w:r>
      <w:r>
        <w:rPr>
          <w:rFonts w:hint="eastAsia" w:ascii="宋体" w:hAnsi="宋体" w:eastAsia="宋体"/>
          <w:bCs/>
          <w:color w:val="auto"/>
          <w:sz w:val="21"/>
          <w:szCs w:val="21"/>
        </w:rPr>
        <w:t>年</w:t>
      </w:r>
      <w:r>
        <w:rPr>
          <w:rFonts w:hint="eastAsia" w:ascii="宋体" w:hAnsi="宋体" w:eastAsia="宋体"/>
          <w:bCs/>
          <w:color w:val="auto"/>
          <w:sz w:val="21"/>
          <w:szCs w:val="21"/>
          <w:lang w:val="en-US" w:eastAsia="zh-CN"/>
        </w:rPr>
        <w:t>1</w:t>
      </w:r>
      <w:r>
        <w:rPr>
          <w:rFonts w:hint="eastAsia" w:ascii="宋体" w:hAnsi="宋体" w:eastAsia="宋体"/>
          <w:bCs/>
          <w:color w:val="auto"/>
          <w:sz w:val="21"/>
          <w:szCs w:val="21"/>
        </w:rPr>
        <w:t>月</w:t>
      </w:r>
      <w:r>
        <w:rPr>
          <w:rFonts w:hint="eastAsia" w:ascii="宋体" w:hAnsi="宋体" w:eastAsia="宋体"/>
          <w:bCs/>
          <w:color w:val="auto"/>
          <w:sz w:val="21"/>
          <w:szCs w:val="21"/>
          <w:lang w:val="en-US" w:eastAsia="zh-CN"/>
        </w:rPr>
        <w:t>16</w:t>
      </w:r>
      <w:r>
        <w:rPr>
          <w:rFonts w:hint="eastAsia" w:ascii="宋体" w:hAnsi="宋体" w:eastAsia="宋体"/>
          <w:bCs/>
          <w:color w:val="auto"/>
          <w:sz w:val="21"/>
          <w:szCs w:val="21"/>
        </w:rPr>
        <w:t>日</w:t>
      </w:r>
      <w:r>
        <w:rPr>
          <w:rFonts w:hint="eastAsia" w:ascii="宋体" w:hAnsi="宋体" w:eastAsia="宋体"/>
          <w:bCs/>
          <w:color w:val="auto"/>
          <w:sz w:val="21"/>
          <w:szCs w:val="21"/>
          <w:lang w:val="en-US" w:eastAsia="zh-CN"/>
        </w:rPr>
        <w:t>下</w:t>
      </w:r>
      <w:r>
        <w:rPr>
          <w:rFonts w:hint="eastAsia" w:ascii="宋体" w:hAnsi="宋体" w:eastAsia="宋体"/>
          <w:bCs/>
          <w:color w:val="auto"/>
          <w:sz w:val="21"/>
          <w:szCs w:val="21"/>
        </w:rPr>
        <w:t>午</w:t>
      </w:r>
      <w:r>
        <w:rPr>
          <w:rFonts w:hint="eastAsia" w:ascii="宋体" w:hAnsi="宋体" w:eastAsia="宋体"/>
          <w:bCs/>
          <w:color w:val="auto"/>
          <w:sz w:val="21"/>
          <w:szCs w:val="21"/>
          <w:lang w:val="en-US" w:eastAsia="zh-CN"/>
        </w:rPr>
        <w:t>14</w:t>
      </w:r>
      <w:r>
        <w:rPr>
          <w:rFonts w:hint="eastAsia" w:ascii="宋体" w:hAnsi="宋体" w:eastAsia="宋体"/>
          <w:bCs/>
          <w:color w:val="auto"/>
          <w:sz w:val="21"/>
          <w:szCs w:val="21"/>
        </w:rPr>
        <w:t>：00～</w:t>
      </w:r>
      <w:r>
        <w:rPr>
          <w:rFonts w:hint="eastAsia" w:ascii="宋体" w:hAnsi="宋体" w:eastAsia="宋体"/>
          <w:bCs/>
          <w:color w:val="auto"/>
          <w:sz w:val="21"/>
          <w:szCs w:val="21"/>
          <w:lang w:val="en-US" w:eastAsia="zh-CN"/>
        </w:rPr>
        <w:t>14</w:t>
      </w:r>
      <w:r>
        <w:rPr>
          <w:rFonts w:hint="eastAsia" w:ascii="宋体" w:hAnsi="宋体" w:eastAsia="宋体"/>
          <w:bCs/>
          <w:color w:val="auto"/>
          <w:sz w:val="21"/>
          <w:szCs w:val="21"/>
        </w:rPr>
        <w:t>：30。</w:t>
      </w:r>
    </w:p>
    <w:p>
      <w:pPr>
        <w:spacing w:after="0" w:line="360" w:lineRule="auto"/>
        <w:ind w:firstLine="420" w:firstLineChars="200"/>
        <w:rPr>
          <w:rFonts w:ascii="宋体" w:hAnsi="宋体" w:eastAsia="宋体"/>
          <w:bCs/>
          <w:color w:val="auto"/>
          <w:sz w:val="21"/>
          <w:szCs w:val="21"/>
        </w:rPr>
      </w:pPr>
      <w:r>
        <w:rPr>
          <w:rFonts w:hint="eastAsia" w:ascii="宋体" w:hAnsi="宋体" w:eastAsia="宋体"/>
          <w:bCs/>
          <w:color w:val="auto"/>
          <w:sz w:val="21"/>
          <w:szCs w:val="21"/>
        </w:rPr>
        <w:t>2、</w:t>
      </w:r>
      <w:r>
        <w:rPr>
          <w:rFonts w:ascii="宋体" w:hAnsi="宋体" w:eastAsia="宋体"/>
          <w:bCs/>
          <w:color w:val="auto"/>
          <w:sz w:val="21"/>
          <w:szCs w:val="21"/>
        </w:rPr>
        <w:t>投标截止</w:t>
      </w:r>
      <w:r>
        <w:rPr>
          <w:rFonts w:hint="eastAsia" w:ascii="宋体" w:hAnsi="宋体" w:eastAsia="宋体"/>
          <w:bCs/>
          <w:color w:val="auto"/>
          <w:sz w:val="21"/>
          <w:szCs w:val="21"/>
        </w:rPr>
        <w:t>及开标时间：20</w:t>
      </w:r>
      <w:r>
        <w:rPr>
          <w:rFonts w:hint="eastAsia" w:ascii="宋体" w:hAnsi="宋体" w:eastAsia="宋体"/>
          <w:bCs/>
          <w:color w:val="auto"/>
          <w:sz w:val="21"/>
          <w:szCs w:val="21"/>
          <w:lang w:val="en-US" w:eastAsia="zh-CN"/>
        </w:rPr>
        <w:t>20</w:t>
      </w:r>
      <w:r>
        <w:rPr>
          <w:rFonts w:hint="eastAsia" w:ascii="宋体" w:hAnsi="宋体" w:eastAsia="宋体"/>
          <w:bCs/>
          <w:color w:val="auto"/>
          <w:sz w:val="21"/>
          <w:szCs w:val="21"/>
        </w:rPr>
        <w:t>年</w:t>
      </w:r>
      <w:r>
        <w:rPr>
          <w:rFonts w:hint="eastAsia" w:ascii="宋体" w:hAnsi="宋体" w:eastAsia="宋体"/>
          <w:bCs/>
          <w:color w:val="auto"/>
          <w:sz w:val="21"/>
          <w:szCs w:val="21"/>
          <w:lang w:val="en-US" w:eastAsia="zh-CN"/>
        </w:rPr>
        <w:t>1</w:t>
      </w:r>
      <w:r>
        <w:rPr>
          <w:rFonts w:hint="eastAsia" w:ascii="宋体" w:hAnsi="宋体" w:eastAsia="宋体"/>
          <w:bCs/>
          <w:color w:val="auto"/>
          <w:sz w:val="21"/>
          <w:szCs w:val="21"/>
        </w:rPr>
        <w:t>月</w:t>
      </w:r>
      <w:r>
        <w:rPr>
          <w:rFonts w:hint="eastAsia" w:ascii="宋体" w:hAnsi="宋体" w:eastAsia="宋体"/>
          <w:bCs/>
          <w:color w:val="auto"/>
          <w:sz w:val="21"/>
          <w:szCs w:val="21"/>
          <w:lang w:val="en-US" w:eastAsia="zh-CN"/>
        </w:rPr>
        <w:t>16</w:t>
      </w:r>
      <w:r>
        <w:rPr>
          <w:rFonts w:hint="eastAsia" w:ascii="宋体" w:hAnsi="宋体" w:eastAsia="宋体"/>
          <w:bCs/>
          <w:color w:val="auto"/>
          <w:sz w:val="21"/>
          <w:szCs w:val="21"/>
        </w:rPr>
        <w:t>日</w:t>
      </w:r>
      <w:r>
        <w:rPr>
          <w:rFonts w:hint="eastAsia" w:ascii="宋体" w:hAnsi="宋体" w:eastAsia="宋体"/>
          <w:bCs/>
          <w:color w:val="auto"/>
          <w:sz w:val="21"/>
          <w:szCs w:val="21"/>
          <w:lang w:val="en-US" w:eastAsia="zh-CN"/>
        </w:rPr>
        <w:t>下</w:t>
      </w:r>
      <w:r>
        <w:rPr>
          <w:rFonts w:hint="eastAsia" w:ascii="宋体" w:hAnsi="宋体" w:eastAsia="宋体"/>
          <w:bCs/>
          <w:color w:val="auto"/>
          <w:sz w:val="21"/>
          <w:szCs w:val="21"/>
        </w:rPr>
        <w:t>午</w:t>
      </w:r>
      <w:r>
        <w:rPr>
          <w:rFonts w:hint="eastAsia" w:ascii="宋体" w:hAnsi="宋体" w:eastAsia="宋体"/>
          <w:bCs/>
          <w:color w:val="auto"/>
          <w:sz w:val="21"/>
          <w:szCs w:val="21"/>
          <w:lang w:val="en-US" w:eastAsia="zh-CN"/>
        </w:rPr>
        <w:t>14</w:t>
      </w:r>
      <w:r>
        <w:rPr>
          <w:rFonts w:hint="eastAsia" w:ascii="宋体" w:hAnsi="宋体" w:eastAsia="宋体"/>
          <w:bCs/>
          <w:color w:val="auto"/>
          <w:sz w:val="21"/>
          <w:szCs w:val="21"/>
        </w:rPr>
        <w:t>时30分。</w:t>
      </w:r>
    </w:p>
    <w:p>
      <w:pPr>
        <w:spacing w:after="0" w:line="360" w:lineRule="auto"/>
        <w:ind w:firstLine="420" w:firstLineChars="200"/>
        <w:rPr>
          <w:rFonts w:ascii="宋体" w:hAnsi="宋体" w:eastAsia="宋体"/>
          <w:bCs/>
          <w:color w:val="auto"/>
          <w:sz w:val="21"/>
          <w:szCs w:val="21"/>
        </w:rPr>
      </w:pPr>
      <w:r>
        <w:rPr>
          <w:rFonts w:hint="eastAsia" w:ascii="宋体" w:hAnsi="宋体" w:eastAsia="宋体"/>
          <w:bCs/>
          <w:color w:val="auto"/>
          <w:sz w:val="21"/>
          <w:szCs w:val="21"/>
        </w:rPr>
        <w:t>3、</w:t>
      </w:r>
      <w:r>
        <w:rPr>
          <w:rFonts w:ascii="宋体" w:hAnsi="宋体" w:eastAsia="宋体"/>
          <w:bCs/>
          <w:color w:val="auto"/>
          <w:sz w:val="21"/>
          <w:szCs w:val="21"/>
        </w:rPr>
        <w:t>开标地点：</w:t>
      </w:r>
      <w:r>
        <w:rPr>
          <w:rFonts w:hint="eastAsia" w:ascii="宋体" w:hAnsi="宋体" w:eastAsia="宋体"/>
          <w:color w:val="auto"/>
          <w:sz w:val="21"/>
          <w:szCs w:val="21"/>
        </w:rPr>
        <w:t>东莞市南城街道鸿福西路81号国际商会大厦601室</w:t>
      </w:r>
      <w:r>
        <w:rPr>
          <w:rFonts w:hint="eastAsia" w:ascii="宋体" w:hAnsi="宋体" w:eastAsia="宋体"/>
          <w:bCs/>
          <w:color w:val="auto"/>
          <w:sz w:val="21"/>
          <w:szCs w:val="21"/>
        </w:rPr>
        <w:t>。</w:t>
      </w:r>
    </w:p>
    <w:p>
      <w:pPr>
        <w:spacing w:after="0" w:line="360" w:lineRule="auto"/>
        <w:ind w:firstLine="411" w:firstLineChars="196"/>
        <w:rPr>
          <w:rFonts w:ascii="宋体" w:hAnsi="宋体" w:eastAsia="宋体"/>
          <w:bCs/>
          <w:color w:val="auto"/>
          <w:sz w:val="21"/>
          <w:szCs w:val="21"/>
        </w:rPr>
      </w:pPr>
    </w:p>
    <w:p>
      <w:pPr>
        <w:spacing w:after="0" w:line="360" w:lineRule="auto"/>
        <w:ind w:firstLine="413" w:firstLineChars="196"/>
        <w:rPr>
          <w:rFonts w:ascii="宋体" w:hAnsi="宋体" w:eastAsia="宋体"/>
          <w:bCs/>
          <w:color w:val="auto"/>
          <w:sz w:val="21"/>
          <w:szCs w:val="21"/>
        </w:rPr>
      </w:pPr>
      <w:r>
        <w:rPr>
          <w:rFonts w:hint="eastAsia" w:ascii="宋体" w:hAnsi="宋体" w:eastAsia="宋体"/>
          <w:b/>
          <w:color w:val="auto"/>
          <w:sz w:val="21"/>
          <w:szCs w:val="21"/>
        </w:rPr>
        <w:t>五、采购人及采购代理机构的名称、地址和联系方法：</w:t>
      </w:r>
    </w:p>
    <w:p>
      <w:pPr>
        <w:spacing w:after="0" w:line="360" w:lineRule="auto"/>
        <w:ind w:firstLine="420" w:firstLineChars="200"/>
        <w:rPr>
          <w:rFonts w:hint="eastAsia" w:ascii="宋体" w:hAnsi="宋体" w:eastAsia="宋体"/>
          <w:bCs/>
          <w:color w:val="auto"/>
          <w:sz w:val="21"/>
          <w:szCs w:val="21"/>
          <w:lang w:eastAsia="zh-CN"/>
        </w:rPr>
      </w:pPr>
      <w:r>
        <w:rPr>
          <w:rFonts w:hint="eastAsia" w:ascii="宋体" w:hAnsi="宋体" w:eastAsia="宋体"/>
          <w:bCs/>
          <w:color w:val="auto"/>
          <w:sz w:val="21"/>
          <w:szCs w:val="21"/>
        </w:rPr>
        <w:t>采购人联系人：</w:t>
      </w:r>
      <w:r>
        <w:rPr>
          <w:rFonts w:hint="eastAsia" w:ascii="宋体" w:hAnsi="宋体" w:eastAsia="宋体"/>
          <w:bCs/>
          <w:color w:val="auto"/>
          <w:sz w:val="21"/>
          <w:szCs w:val="21"/>
          <w:lang w:eastAsia="zh-CN"/>
        </w:rPr>
        <w:t>黄生</w:t>
      </w:r>
    </w:p>
    <w:p>
      <w:pPr>
        <w:spacing w:after="0" w:line="360" w:lineRule="auto"/>
        <w:ind w:firstLine="420" w:firstLineChars="200"/>
        <w:rPr>
          <w:rFonts w:hint="eastAsia" w:ascii="宋体" w:hAnsi="宋体" w:eastAsia="宋体"/>
          <w:bCs/>
          <w:color w:val="auto"/>
          <w:sz w:val="21"/>
          <w:szCs w:val="21"/>
          <w:lang w:eastAsia="zh-CN"/>
        </w:rPr>
      </w:pPr>
      <w:r>
        <w:rPr>
          <w:rFonts w:hint="eastAsia" w:ascii="宋体" w:hAnsi="宋体" w:eastAsia="宋体"/>
          <w:bCs/>
          <w:color w:val="auto"/>
          <w:sz w:val="21"/>
          <w:szCs w:val="21"/>
        </w:rPr>
        <w:t>地址：</w:t>
      </w:r>
      <w:r>
        <w:rPr>
          <w:rFonts w:hint="eastAsia" w:ascii="宋体" w:hAnsi="宋体" w:eastAsia="宋体"/>
          <w:bCs/>
          <w:color w:val="auto"/>
          <w:sz w:val="21"/>
          <w:szCs w:val="21"/>
          <w:lang w:eastAsia="zh-CN"/>
        </w:rPr>
        <w:t>东莞市石排镇</w:t>
      </w:r>
    </w:p>
    <w:p>
      <w:pPr>
        <w:spacing w:after="0" w:line="360" w:lineRule="auto"/>
        <w:ind w:firstLine="420" w:firstLineChars="200"/>
        <w:rPr>
          <w:rFonts w:ascii="宋体" w:hAnsi="宋体" w:eastAsia="宋体"/>
          <w:bCs/>
          <w:color w:val="auto"/>
          <w:sz w:val="21"/>
          <w:szCs w:val="21"/>
        </w:rPr>
      </w:pPr>
      <w:r>
        <w:rPr>
          <w:rFonts w:hint="eastAsia" w:ascii="宋体" w:hAnsi="宋体" w:eastAsia="宋体"/>
          <w:bCs/>
          <w:color w:val="auto"/>
          <w:sz w:val="21"/>
          <w:szCs w:val="21"/>
        </w:rPr>
        <w:t>联系电话：0769-23087389</w:t>
      </w:r>
    </w:p>
    <w:p>
      <w:pPr>
        <w:spacing w:after="0" w:line="360" w:lineRule="auto"/>
        <w:ind w:firstLine="420" w:firstLineChars="200"/>
        <w:rPr>
          <w:rFonts w:ascii="宋体" w:hAnsi="宋体" w:eastAsia="宋体"/>
          <w:color w:val="auto"/>
          <w:sz w:val="21"/>
          <w:szCs w:val="21"/>
        </w:rPr>
      </w:pP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采购代理机构名称：广东三方诚信招标有限公司东莞分公司</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地址：东莞市南城街道鸿福西路81号国际商会大厦706室。</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采购代理机构联系人：李学明</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联系电话：0769-21682660-805</w:t>
      </w:r>
    </w:p>
    <w:p>
      <w:pPr>
        <w:spacing w:after="0" w:line="360" w:lineRule="auto"/>
        <w:ind w:firstLine="420" w:firstLineChars="200"/>
        <w:rPr>
          <w:rFonts w:eastAsia="宋体"/>
          <w:color w:val="auto"/>
        </w:rPr>
      </w:pPr>
      <w:r>
        <w:rPr>
          <w:rFonts w:hint="eastAsia" w:ascii="宋体" w:hAnsi="宋体" w:eastAsia="宋体"/>
          <w:color w:val="auto"/>
          <w:sz w:val="21"/>
          <w:szCs w:val="21"/>
        </w:rPr>
        <w:t>E－ mail：529129667@qq.com</w:t>
      </w:r>
    </w:p>
    <w:p>
      <w:pPr>
        <w:rPr>
          <w:color w:val="auto"/>
        </w:rPr>
      </w:pPr>
    </w:p>
    <w:p>
      <w:pPr>
        <w:ind w:right="788" w:rightChars="358"/>
        <w:jc w:val="both"/>
        <w:rPr>
          <w:color w:val="auto"/>
        </w:rPr>
      </w:pPr>
    </w:p>
    <w:p>
      <w:pPr>
        <w:ind w:right="788" w:rightChars="358"/>
        <w:jc w:val="right"/>
        <w:rPr>
          <w:rFonts w:ascii="宋体" w:hAnsi="宋体" w:eastAsia="宋体" w:cs="宋体"/>
          <w:color w:val="auto"/>
          <w:sz w:val="21"/>
          <w:szCs w:val="21"/>
        </w:rPr>
      </w:pPr>
      <w:r>
        <w:rPr>
          <w:rFonts w:hint="eastAsia" w:ascii="宋体" w:hAnsi="宋体" w:eastAsia="宋体" w:cs="宋体"/>
          <w:color w:val="auto"/>
          <w:sz w:val="21"/>
          <w:szCs w:val="21"/>
        </w:rPr>
        <w:t xml:space="preserve">    广东三方诚信招标有限公司东莞分公司</w:t>
      </w:r>
    </w:p>
    <w:p>
      <w:pPr>
        <w:ind w:left="6481" w:leftChars="2755" w:hanging="420" w:hangingChars="200"/>
        <w:rPr>
          <w:rFonts w:ascii="宋体" w:hAnsi="宋体" w:eastAsia="宋体" w:cs="宋体"/>
          <w:color w:val="auto"/>
          <w:sz w:val="21"/>
          <w:szCs w:val="21"/>
        </w:rPr>
      </w:pPr>
      <w:r>
        <w:rPr>
          <w:rFonts w:hint="eastAsia" w:ascii="宋体" w:hAnsi="宋体" w:eastAsia="宋体" w:cs="宋体"/>
          <w:color w:val="auto"/>
          <w:sz w:val="21"/>
          <w:szCs w:val="21"/>
        </w:rPr>
        <w:t>二〇一九年</w:t>
      </w:r>
      <w:r>
        <w:rPr>
          <w:rFonts w:hint="eastAsia" w:ascii="宋体" w:hAnsi="宋体" w:eastAsia="宋体" w:cs="宋体"/>
          <w:color w:val="auto"/>
          <w:sz w:val="21"/>
          <w:szCs w:val="21"/>
          <w:lang w:val="en-US" w:eastAsia="zh-CN"/>
        </w:rPr>
        <w:t>十二</w:t>
      </w:r>
      <w:r>
        <w:rPr>
          <w:rFonts w:hint="eastAsia" w:ascii="宋体" w:hAnsi="宋体" w:eastAsia="宋体" w:cs="宋体"/>
          <w:color w:val="auto"/>
          <w:sz w:val="21"/>
          <w:szCs w:val="21"/>
        </w:rPr>
        <w:t>月</w:t>
      </w:r>
    </w:p>
    <w:p>
      <w:pPr>
        <w:ind w:left="6481" w:leftChars="2755" w:hanging="420" w:hangingChars="200"/>
        <w:rPr>
          <w:rFonts w:ascii="黑体" w:hAnsi="宋体" w:eastAsia="黑体"/>
          <w:color w:val="auto"/>
        </w:rPr>
      </w:pPr>
      <w:r>
        <w:rPr>
          <w:rFonts w:hint="eastAsia" w:ascii="宋体" w:hAnsi="宋体" w:eastAsia="宋体" w:cs="宋体"/>
          <w:color w:val="auto"/>
          <w:sz w:val="21"/>
          <w:szCs w:val="21"/>
        </w:rPr>
        <w:br w:type="page"/>
      </w:r>
    </w:p>
    <w:p>
      <w:pPr>
        <w:pStyle w:val="4"/>
        <w:spacing w:before="0" w:after="0" w:line="240" w:lineRule="auto"/>
        <w:rPr>
          <w:color w:val="auto"/>
          <w:sz w:val="28"/>
          <w:szCs w:val="28"/>
        </w:rPr>
      </w:pPr>
      <w:bookmarkStart w:id="1" w:name="_Toc14146"/>
      <w:r>
        <w:rPr>
          <w:rFonts w:hint="eastAsia"/>
          <w:color w:val="auto"/>
          <w:sz w:val="28"/>
          <w:szCs w:val="28"/>
        </w:rPr>
        <w:t>第二部分 相关资料表格</w:t>
      </w:r>
      <w:bookmarkEnd w:id="1"/>
    </w:p>
    <w:p>
      <w:pPr>
        <w:pStyle w:val="5"/>
        <w:spacing w:before="0" w:after="0" w:line="240" w:lineRule="auto"/>
        <w:jc w:val="center"/>
        <w:rPr>
          <w:rFonts w:ascii="宋体" w:hAnsi="宋体" w:eastAsia="宋体" w:cs="宋体"/>
          <w:color w:val="auto"/>
          <w:sz w:val="24"/>
          <w:szCs w:val="24"/>
        </w:rPr>
      </w:pPr>
      <w:bookmarkStart w:id="2" w:name="_Toc20683"/>
      <w:r>
        <w:rPr>
          <w:rFonts w:hint="eastAsia" w:ascii="宋体" w:hAnsi="宋体" w:eastAsia="宋体" w:cs="宋体"/>
          <w:color w:val="auto"/>
          <w:sz w:val="24"/>
          <w:szCs w:val="24"/>
        </w:rPr>
        <w:t>附表一：投标资料表</w:t>
      </w:r>
      <w:bookmarkEnd w:id="2"/>
    </w:p>
    <w:tbl>
      <w:tblPr>
        <w:tblStyle w:val="16"/>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510"/>
        <w:gridCol w:w="98"/>
        <w:gridCol w:w="1158"/>
        <w:gridCol w:w="1254"/>
        <w:gridCol w:w="2512"/>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序号</w:t>
            </w:r>
          </w:p>
        </w:tc>
        <w:tc>
          <w:tcPr>
            <w:tcW w:w="7532" w:type="dxa"/>
            <w:gridSpan w:val="5"/>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内</w:t>
            </w:r>
            <w:r>
              <w:rPr>
                <w:rFonts w:ascii="宋体" w:hAnsi="宋体" w:eastAsia="宋体"/>
                <w:b/>
                <w:color w:val="auto"/>
                <w:sz w:val="21"/>
                <w:szCs w:val="21"/>
              </w:rPr>
              <w:t xml:space="preserve">      </w:t>
            </w:r>
            <w:r>
              <w:rPr>
                <w:rFonts w:hint="eastAsia" w:ascii="宋体" w:hAnsi="宋体" w:eastAsia="宋体"/>
                <w:b/>
                <w:color w:val="auto"/>
                <w:sz w:val="21"/>
                <w:szCs w:val="21"/>
              </w:rPr>
              <w:t>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6"/>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1</w:t>
            </w:r>
          </w:p>
        </w:tc>
        <w:tc>
          <w:tcPr>
            <w:tcW w:w="7532" w:type="dxa"/>
            <w:gridSpan w:val="5"/>
            <w:vAlign w:val="center"/>
          </w:tcPr>
          <w:p>
            <w:pPr>
              <w:spacing w:after="0"/>
              <w:rPr>
                <w:rFonts w:ascii="宋体" w:hAnsi="宋体" w:eastAsia="宋体"/>
                <w:b/>
                <w:bCs/>
                <w:color w:val="auto"/>
                <w:sz w:val="21"/>
                <w:szCs w:val="21"/>
              </w:rPr>
            </w:pPr>
            <w:r>
              <w:rPr>
                <w:rFonts w:hint="eastAsia" w:ascii="宋体" w:hAnsi="宋体" w:eastAsia="宋体"/>
                <w:b/>
                <w:bCs/>
                <w:color w:val="auto"/>
                <w:sz w:val="21"/>
                <w:szCs w:val="21"/>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rPr>
                <w:rFonts w:ascii="宋体" w:hAnsi="宋体" w:eastAsia="宋体"/>
                <w:b/>
                <w:bCs/>
                <w:color w:val="auto"/>
                <w:sz w:val="21"/>
                <w:szCs w:val="21"/>
              </w:rPr>
            </w:pPr>
            <w:r>
              <w:rPr>
                <w:rFonts w:hint="eastAsia" w:ascii="宋体" w:hAnsi="宋体" w:eastAsia="宋体"/>
                <w:bCs/>
                <w:color w:val="auto"/>
                <w:sz w:val="21"/>
                <w:szCs w:val="21"/>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2</w:t>
            </w:r>
          </w:p>
        </w:tc>
        <w:tc>
          <w:tcPr>
            <w:tcW w:w="7532" w:type="dxa"/>
            <w:gridSpan w:val="5"/>
            <w:vAlign w:val="center"/>
          </w:tcPr>
          <w:p>
            <w:pPr>
              <w:spacing w:after="0"/>
              <w:rPr>
                <w:rFonts w:ascii="宋体" w:hAnsi="宋体" w:eastAsia="宋体"/>
                <w:b/>
                <w:bCs/>
                <w:color w:val="auto"/>
                <w:sz w:val="21"/>
                <w:szCs w:val="21"/>
              </w:rPr>
            </w:pPr>
            <w:r>
              <w:rPr>
                <w:rFonts w:hint="eastAsia" w:ascii="宋体" w:hAnsi="宋体" w:eastAsia="宋体"/>
                <w:b/>
                <w:bCs/>
                <w:color w:val="auto"/>
                <w:sz w:val="21"/>
                <w:szCs w:val="21"/>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rPr>
                <w:rFonts w:ascii="宋体" w:hAnsi="宋体" w:eastAsia="宋体"/>
                <w:b/>
                <w:bCs/>
                <w:color w:val="auto"/>
                <w:sz w:val="21"/>
                <w:szCs w:val="21"/>
              </w:rPr>
            </w:pPr>
            <w:r>
              <w:rPr>
                <w:rFonts w:hint="eastAsia" w:ascii="宋体" w:hAnsi="宋体" w:eastAsia="宋体"/>
                <w:color w:val="auto"/>
                <w:sz w:val="21"/>
                <w:szCs w:val="21"/>
              </w:rPr>
              <w:t>财政性资金。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3</w:t>
            </w:r>
          </w:p>
        </w:tc>
        <w:tc>
          <w:tcPr>
            <w:tcW w:w="7532" w:type="dxa"/>
            <w:gridSpan w:val="5"/>
            <w:vAlign w:val="center"/>
          </w:tcPr>
          <w:p>
            <w:pPr>
              <w:spacing w:after="0"/>
              <w:rPr>
                <w:rFonts w:ascii="宋体" w:hAnsi="宋体" w:eastAsia="宋体"/>
                <w:b/>
                <w:color w:val="auto"/>
                <w:sz w:val="21"/>
                <w:szCs w:val="21"/>
              </w:rPr>
            </w:pPr>
            <w:r>
              <w:rPr>
                <w:rFonts w:hint="eastAsia" w:ascii="宋体" w:hAnsi="宋体" w:eastAsia="宋体"/>
                <w:b/>
                <w:color w:val="auto"/>
                <w:sz w:val="21"/>
                <w:szCs w:val="21"/>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rPr>
                <w:rFonts w:ascii="宋体" w:hAnsi="宋体" w:eastAsia="宋体"/>
                <w:b/>
                <w:color w:val="auto"/>
                <w:sz w:val="21"/>
                <w:szCs w:val="21"/>
              </w:rPr>
            </w:pPr>
            <w:r>
              <w:rPr>
                <w:rFonts w:hint="eastAsia" w:ascii="宋体" w:hAnsi="宋体" w:eastAsia="宋体"/>
                <w:bCs/>
                <w:color w:val="auto"/>
                <w:sz w:val="21"/>
                <w:szCs w:val="21"/>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4</w:t>
            </w:r>
          </w:p>
        </w:tc>
        <w:tc>
          <w:tcPr>
            <w:tcW w:w="7532" w:type="dxa"/>
            <w:gridSpan w:val="5"/>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rPr>
            </w:pPr>
          </w:p>
        </w:tc>
        <w:tc>
          <w:tcPr>
            <w:tcW w:w="2510" w:type="dxa"/>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东莞市政府采购网</w:t>
            </w:r>
          </w:p>
        </w:tc>
        <w:tc>
          <w:tcPr>
            <w:tcW w:w="2510" w:type="dxa"/>
            <w:gridSpan w:val="3"/>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广东省政府采购网</w:t>
            </w:r>
          </w:p>
        </w:tc>
        <w:tc>
          <w:tcPr>
            <w:tcW w:w="2512" w:type="dxa"/>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rPr>
            </w:pPr>
          </w:p>
        </w:tc>
        <w:tc>
          <w:tcPr>
            <w:tcW w:w="2510" w:type="dxa"/>
            <w:vAlign w:val="center"/>
          </w:tcPr>
          <w:p>
            <w:pPr>
              <w:spacing w:after="0"/>
              <w:jc w:val="center"/>
              <w:rPr>
                <w:rFonts w:ascii="宋体" w:hAnsi="宋体" w:eastAsia="宋体"/>
                <w:b/>
                <w:color w:val="auto"/>
                <w:sz w:val="21"/>
                <w:szCs w:val="21"/>
              </w:rPr>
            </w:pPr>
            <w:r>
              <w:rPr>
                <w:rFonts w:hint="eastAsia" w:ascii="宋体" w:hAnsi="宋体" w:eastAsia="宋体"/>
                <w:color w:val="auto"/>
                <w:sz w:val="21"/>
                <w:szCs w:val="21"/>
              </w:rPr>
              <w:t>http://czj.dg.gov.cn/dggp/</w:t>
            </w:r>
          </w:p>
        </w:tc>
        <w:tc>
          <w:tcPr>
            <w:tcW w:w="2510" w:type="dxa"/>
            <w:gridSpan w:val="3"/>
            <w:vAlign w:val="center"/>
          </w:tcPr>
          <w:p>
            <w:pPr>
              <w:spacing w:after="0"/>
              <w:jc w:val="center"/>
              <w:rPr>
                <w:rFonts w:ascii="宋体" w:hAnsi="宋体" w:eastAsia="宋体"/>
                <w:b/>
                <w:color w:val="auto"/>
                <w:sz w:val="21"/>
                <w:szCs w:val="21"/>
              </w:rPr>
            </w:pPr>
            <w:r>
              <w:rPr>
                <w:rFonts w:ascii="宋体" w:hAnsi="宋体" w:eastAsia="宋体"/>
                <w:color w:val="auto"/>
                <w:sz w:val="21"/>
                <w:szCs w:val="21"/>
              </w:rPr>
              <w:t>http://www.gdgpo.gov.cn</w:t>
            </w:r>
          </w:p>
        </w:tc>
        <w:tc>
          <w:tcPr>
            <w:tcW w:w="2512" w:type="dxa"/>
            <w:vAlign w:val="center"/>
          </w:tcPr>
          <w:p>
            <w:pPr>
              <w:spacing w:after="0"/>
              <w:jc w:val="center"/>
              <w:rPr>
                <w:rFonts w:ascii="宋体" w:hAnsi="宋体" w:eastAsia="宋体"/>
                <w:b/>
                <w:color w:val="auto"/>
                <w:sz w:val="21"/>
                <w:szCs w:val="21"/>
              </w:rPr>
            </w:pPr>
            <w:r>
              <w:rPr>
                <w:rFonts w:ascii="宋体" w:hAnsi="宋体" w:eastAsia="宋体"/>
                <w:color w:val="auto"/>
                <w:sz w:val="21"/>
                <w:szCs w:val="21"/>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6"/>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5</w:t>
            </w:r>
          </w:p>
        </w:tc>
        <w:tc>
          <w:tcPr>
            <w:tcW w:w="7532" w:type="dxa"/>
            <w:gridSpan w:val="5"/>
            <w:vAlign w:val="center"/>
          </w:tcPr>
          <w:p>
            <w:pPr>
              <w:spacing w:after="0"/>
              <w:rPr>
                <w:rFonts w:ascii="宋体" w:hAnsi="宋体" w:eastAsia="宋体"/>
                <w:b/>
                <w:color w:val="auto"/>
                <w:sz w:val="21"/>
                <w:szCs w:val="21"/>
              </w:rPr>
            </w:pPr>
            <w:r>
              <w:rPr>
                <w:rFonts w:hint="eastAsia" w:ascii="宋体" w:hAnsi="宋体" w:eastAsia="宋体"/>
                <w:b/>
                <w:color w:val="auto"/>
                <w:sz w:val="21"/>
                <w:szCs w:val="21"/>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rPr>
                <w:rFonts w:ascii="宋体" w:hAnsi="宋体" w:eastAsia="宋体"/>
                <w:b/>
                <w:color w:val="auto"/>
                <w:sz w:val="21"/>
                <w:szCs w:val="21"/>
              </w:rPr>
            </w:pPr>
            <w:r>
              <w:rPr>
                <w:rFonts w:hint="eastAsia" w:ascii="宋体" w:hAnsi="宋体" w:eastAsia="宋体"/>
                <w:color w:val="auto"/>
                <w:sz w:val="21"/>
                <w:szCs w:val="21"/>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6</w:t>
            </w:r>
          </w:p>
        </w:tc>
        <w:tc>
          <w:tcPr>
            <w:tcW w:w="7532" w:type="dxa"/>
            <w:gridSpan w:val="5"/>
            <w:vAlign w:val="center"/>
          </w:tcPr>
          <w:p>
            <w:pPr>
              <w:spacing w:after="0"/>
              <w:jc w:val="both"/>
              <w:rPr>
                <w:rFonts w:ascii="宋体" w:hAnsi="宋体" w:eastAsia="宋体"/>
                <w:b/>
                <w:color w:val="auto"/>
                <w:sz w:val="21"/>
                <w:szCs w:val="21"/>
              </w:rPr>
            </w:pPr>
            <w:r>
              <w:rPr>
                <w:rFonts w:hint="eastAsia" w:ascii="宋体" w:hAnsi="宋体" w:eastAsia="宋体"/>
                <w:b/>
                <w:color w:val="auto"/>
                <w:sz w:val="21"/>
                <w:szCs w:val="21"/>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7</w:t>
            </w:r>
          </w:p>
        </w:tc>
        <w:tc>
          <w:tcPr>
            <w:tcW w:w="7532" w:type="dxa"/>
            <w:gridSpan w:val="5"/>
            <w:vAlign w:val="center"/>
          </w:tcPr>
          <w:p>
            <w:pPr>
              <w:spacing w:after="0"/>
              <w:jc w:val="both"/>
              <w:rPr>
                <w:rFonts w:ascii="宋体" w:hAnsi="宋体" w:eastAsia="宋体"/>
                <w:b/>
                <w:color w:val="auto"/>
                <w:sz w:val="21"/>
                <w:szCs w:val="21"/>
              </w:rPr>
            </w:pPr>
            <w:r>
              <w:rPr>
                <w:rFonts w:hint="eastAsia" w:ascii="宋体" w:hAnsi="宋体" w:eastAsia="宋体"/>
                <w:b/>
                <w:color w:val="auto"/>
                <w:sz w:val="21"/>
                <w:szCs w:val="21"/>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8</w:t>
            </w:r>
          </w:p>
        </w:tc>
        <w:tc>
          <w:tcPr>
            <w:tcW w:w="7532" w:type="dxa"/>
            <w:gridSpan w:val="5"/>
            <w:vAlign w:val="center"/>
          </w:tcPr>
          <w:p>
            <w:pPr>
              <w:spacing w:after="0"/>
              <w:jc w:val="both"/>
              <w:rPr>
                <w:rFonts w:ascii="宋体" w:hAnsi="宋体" w:eastAsia="宋体"/>
                <w:color w:val="auto"/>
                <w:sz w:val="21"/>
                <w:szCs w:val="21"/>
              </w:rPr>
            </w:pPr>
            <w:r>
              <w:rPr>
                <w:rFonts w:hint="eastAsia" w:ascii="宋体" w:hAnsi="宋体" w:eastAsia="宋体"/>
                <w:b/>
                <w:color w:val="auto"/>
                <w:sz w:val="21"/>
                <w:szCs w:val="21"/>
              </w:rPr>
              <w:t>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color w:val="auto"/>
                <w:sz w:val="21"/>
                <w:szCs w:val="21"/>
              </w:rPr>
            </w:pPr>
          </w:p>
        </w:tc>
        <w:tc>
          <w:tcPr>
            <w:tcW w:w="7532" w:type="dxa"/>
            <w:gridSpan w:val="5"/>
            <w:vAlign w:val="center"/>
          </w:tcPr>
          <w:p>
            <w:pPr>
              <w:spacing w:after="0"/>
              <w:jc w:val="both"/>
              <w:rPr>
                <w:rFonts w:ascii="宋体" w:hAnsi="宋体" w:eastAsia="宋体"/>
                <w:color w:val="auto"/>
                <w:sz w:val="21"/>
                <w:szCs w:val="21"/>
              </w:rPr>
            </w:pPr>
            <w:r>
              <w:rPr>
                <w:rFonts w:hint="eastAsia" w:ascii="宋体" w:hAnsi="宋体" w:eastAsia="宋体"/>
                <w:color w:val="auto"/>
                <w:sz w:val="21"/>
                <w:szCs w:val="21"/>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9</w:t>
            </w:r>
          </w:p>
        </w:tc>
        <w:tc>
          <w:tcPr>
            <w:tcW w:w="7532" w:type="dxa"/>
            <w:gridSpan w:val="5"/>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w:t>
            </w:r>
            <w:r>
              <w:rPr>
                <w:rFonts w:hint="eastAsia" w:ascii="宋体" w:hAnsi="宋体" w:eastAsia="宋体"/>
                <w:b/>
                <w:color w:val="auto"/>
                <w:sz w:val="21"/>
                <w:szCs w:val="21"/>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jc w:val="both"/>
              <w:rPr>
                <w:rFonts w:ascii="宋体" w:hAnsi="宋体" w:eastAsia="宋体"/>
                <w:color w:val="auto"/>
                <w:sz w:val="21"/>
                <w:szCs w:val="21"/>
              </w:rPr>
            </w:pPr>
            <w:r>
              <w:rPr>
                <w:rFonts w:hint="eastAsia" w:ascii="宋体" w:hAnsi="宋体" w:eastAsia="宋体"/>
                <w:color w:val="auto"/>
                <w:sz w:val="21"/>
                <w:szCs w:val="21"/>
              </w:rPr>
              <w:t>（1）投标保证金金额：人民币</w:t>
            </w:r>
            <w:r>
              <w:rPr>
                <w:rFonts w:hint="eastAsia" w:ascii="宋体" w:hAnsi="宋体" w:eastAsia="宋体"/>
                <w:b/>
                <w:color w:val="auto"/>
                <w:sz w:val="21"/>
                <w:szCs w:val="21"/>
              </w:rPr>
              <w:t>叁万</w:t>
            </w:r>
            <w:r>
              <w:rPr>
                <w:rFonts w:hint="eastAsia" w:ascii="宋体" w:hAnsi="宋体" w:eastAsia="宋体"/>
                <w:color w:val="auto"/>
                <w:sz w:val="21"/>
                <w:szCs w:val="21"/>
              </w:rPr>
              <w:t>元整（￥</w:t>
            </w:r>
            <w:r>
              <w:rPr>
                <w:rFonts w:hint="eastAsia" w:ascii="宋体" w:hAnsi="宋体" w:eastAsia="宋体"/>
                <w:b/>
                <w:color w:val="auto"/>
                <w:sz w:val="21"/>
                <w:szCs w:val="21"/>
                <w:u w:val="single"/>
              </w:rPr>
              <w:t>30,000.00</w:t>
            </w:r>
            <w:r>
              <w:rPr>
                <w:rFonts w:hint="eastAsia" w:ascii="宋体" w:hAnsi="宋体" w:eastAsia="宋体"/>
                <w:color w:val="auto"/>
                <w:sz w:val="21"/>
                <w:szCs w:val="21"/>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zh-CN"/>
              </w:rPr>
              <w:t>投标保证金须严格按“招标文件第五章投标人须知”要求提交。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jc w:val="both"/>
              <w:rPr>
                <w:rFonts w:ascii="宋体" w:hAnsi="宋体" w:eastAsia="宋体"/>
                <w:color w:val="auto"/>
                <w:sz w:val="21"/>
                <w:szCs w:val="21"/>
                <w:lang w:val="zh-CN"/>
              </w:rPr>
            </w:pPr>
            <w:r>
              <w:rPr>
                <w:rFonts w:hint="eastAsia" w:ascii="宋体" w:hAnsi="宋体" w:eastAsia="宋体"/>
                <w:color w:val="auto"/>
                <w:sz w:val="21"/>
                <w:szCs w:val="21"/>
                <w:lang w:val="zh-CN"/>
              </w:rPr>
              <w:t>（3）保证金递交账户：</w:t>
            </w:r>
          </w:p>
          <w:p>
            <w:pPr>
              <w:spacing w:after="0"/>
              <w:jc w:val="both"/>
              <w:rPr>
                <w:rFonts w:ascii="宋体" w:hAnsi="宋体" w:eastAsia="宋体"/>
                <w:color w:val="auto"/>
                <w:sz w:val="21"/>
                <w:szCs w:val="21"/>
                <w:lang w:val="zh-CN"/>
              </w:rPr>
            </w:pPr>
            <w:r>
              <w:rPr>
                <w:rFonts w:hint="eastAsia" w:ascii="宋体" w:hAnsi="宋体" w:eastAsia="宋体"/>
                <w:color w:val="auto"/>
                <w:sz w:val="21"/>
                <w:szCs w:val="21"/>
                <w:lang w:val="zh-CN"/>
              </w:rPr>
              <w:t>收款人：广东三方诚信招标有限公司东莞分公司</w:t>
            </w:r>
          </w:p>
          <w:p>
            <w:pPr>
              <w:spacing w:after="0"/>
              <w:jc w:val="both"/>
              <w:rPr>
                <w:rFonts w:ascii="宋体" w:hAnsi="宋体" w:eastAsia="宋体"/>
                <w:color w:val="auto"/>
                <w:sz w:val="21"/>
                <w:szCs w:val="21"/>
                <w:lang w:val="zh-CN"/>
              </w:rPr>
            </w:pPr>
            <w:r>
              <w:rPr>
                <w:rFonts w:hint="eastAsia" w:ascii="宋体" w:hAnsi="宋体" w:eastAsia="宋体"/>
                <w:color w:val="auto"/>
                <w:sz w:val="21"/>
                <w:szCs w:val="21"/>
                <w:lang w:val="zh-CN"/>
              </w:rPr>
              <w:t>开户行：广发银行股份有限公司东莞南城支行</w:t>
            </w:r>
          </w:p>
          <w:p>
            <w:pPr>
              <w:spacing w:after="0"/>
              <w:jc w:val="both"/>
              <w:rPr>
                <w:rFonts w:ascii="宋体" w:hAnsi="宋体" w:eastAsia="宋体"/>
                <w:color w:val="auto"/>
                <w:sz w:val="21"/>
                <w:szCs w:val="21"/>
                <w:lang w:val="zh-CN"/>
              </w:rPr>
            </w:pPr>
            <w:r>
              <w:rPr>
                <w:rFonts w:hint="eastAsia" w:ascii="宋体" w:hAnsi="宋体" w:eastAsia="宋体"/>
                <w:color w:val="auto"/>
                <w:sz w:val="21"/>
                <w:szCs w:val="21"/>
                <w:lang w:val="zh-CN"/>
              </w:rPr>
              <w:t>帐  号：6232590699050006046</w:t>
            </w:r>
          </w:p>
          <w:p>
            <w:pPr>
              <w:spacing w:after="0"/>
              <w:jc w:val="both"/>
              <w:rPr>
                <w:rFonts w:ascii="宋体" w:hAnsi="宋体" w:eastAsia="宋体"/>
                <w:color w:val="auto"/>
                <w:sz w:val="21"/>
                <w:szCs w:val="21"/>
              </w:rPr>
            </w:pPr>
            <w:r>
              <w:rPr>
                <w:rFonts w:hint="eastAsia" w:ascii="宋体" w:hAnsi="宋体" w:eastAsia="宋体"/>
                <w:color w:val="auto"/>
                <w:sz w:val="21"/>
                <w:szCs w:val="21"/>
                <w:lang w:val="zh-CN"/>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10</w:t>
            </w:r>
          </w:p>
        </w:tc>
        <w:tc>
          <w:tcPr>
            <w:tcW w:w="7532" w:type="dxa"/>
            <w:gridSpan w:val="5"/>
            <w:vAlign w:val="center"/>
          </w:tcPr>
          <w:p>
            <w:pPr>
              <w:spacing w:after="0"/>
              <w:jc w:val="both"/>
              <w:rPr>
                <w:rFonts w:ascii="宋体" w:hAnsi="宋体" w:eastAsia="宋体"/>
                <w:b/>
                <w:bCs/>
                <w:color w:val="auto"/>
                <w:sz w:val="21"/>
                <w:szCs w:val="21"/>
                <w:lang w:val="zh-CN"/>
              </w:rPr>
            </w:pPr>
            <w:r>
              <w:rPr>
                <w:rFonts w:hint="eastAsia" w:ascii="宋体" w:hAnsi="宋体" w:eastAsia="宋体"/>
                <w:b/>
                <w:bCs/>
                <w:color w:val="auto"/>
                <w:sz w:val="21"/>
                <w:szCs w:val="21"/>
                <w:lang w:val="zh-CN"/>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jc w:val="both"/>
              <w:rPr>
                <w:rFonts w:ascii="宋体" w:hAnsi="宋体" w:eastAsia="宋体"/>
                <w:color w:val="auto"/>
                <w:sz w:val="21"/>
                <w:szCs w:val="21"/>
                <w:lang w:val="zh-CN"/>
              </w:rPr>
            </w:pPr>
            <w:r>
              <w:rPr>
                <w:rFonts w:hint="eastAsia" w:ascii="宋体" w:hAnsi="宋体" w:eastAsia="宋体"/>
                <w:color w:val="auto"/>
                <w:sz w:val="21"/>
                <w:szCs w:val="21"/>
                <w:lang w:val="zh-CN"/>
              </w:rPr>
              <w:t>（</w:t>
            </w:r>
            <w:r>
              <w:rPr>
                <w:rFonts w:hint="eastAsia" w:ascii="宋体" w:hAnsi="宋体" w:eastAsia="宋体"/>
                <w:color w:val="auto"/>
                <w:sz w:val="21"/>
                <w:szCs w:val="21"/>
              </w:rPr>
              <w:t>1</w:t>
            </w:r>
            <w:r>
              <w:rPr>
                <w:rFonts w:hint="eastAsia" w:ascii="宋体" w:hAnsi="宋体" w:eastAsia="宋体"/>
                <w:color w:val="auto"/>
                <w:sz w:val="21"/>
                <w:szCs w:val="21"/>
                <w:lang w:val="zh-CN"/>
              </w:rPr>
              <w:t>）未中标的投标人的保证金在采购结果公示发出后5个工作日内退还，中标投标人的保证金在采购合同签订后5个工作日内退还。</w:t>
            </w:r>
          </w:p>
          <w:p>
            <w:pPr>
              <w:spacing w:after="0"/>
              <w:jc w:val="both"/>
              <w:rPr>
                <w:rFonts w:ascii="宋体" w:hAnsi="宋体" w:eastAsia="宋体"/>
                <w:color w:val="auto"/>
                <w:sz w:val="21"/>
                <w:szCs w:val="21"/>
                <w:lang w:val="zh-CN"/>
              </w:rPr>
            </w:pPr>
            <w:r>
              <w:rPr>
                <w:rFonts w:hint="eastAsia" w:ascii="宋体" w:hAnsi="宋体" w:eastAsia="宋体"/>
                <w:color w:val="auto"/>
                <w:sz w:val="21"/>
                <w:szCs w:val="21"/>
                <w:lang w:val="zh-CN"/>
              </w:rPr>
              <w:t>（</w:t>
            </w:r>
            <w:r>
              <w:rPr>
                <w:rFonts w:hint="eastAsia" w:ascii="宋体" w:hAnsi="宋体" w:eastAsia="宋体"/>
                <w:color w:val="auto"/>
                <w:sz w:val="21"/>
                <w:szCs w:val="21"/>
              </w:rPr>
              <w:t>2</w:t>
            </w:r>
            <w:r>
              <w:rPr>
                <w:rFonts w:hint="eastAsia" w:ascii="宋体" w:hAnsi="宋体" w:eastAsia="宋体"/>
                <w:color w:val="auto"/>
                <w:sz w:val="21"/>
                <w:szCs w:val="21"/>
                <w:lang w:val="zh-CN"/>
              </w:rPr>
              <w:t>）为方便退还未中标的投保人的保证金，投标人应制作《投标保证金汇入情况说明》随开标文件一并递交。</w:t>
            </w:r>
          </w:p>
          <w:p>
            <w:pPr>
              <w:spacing w:after="0"/>
              <w:jc w:val="both"/>
              <w:rPr>
                <w:rFonts w:eastAsia="宋体"/>
                <w:color w:val="auto"/>
              </w:rPr>
            </w:pPr>
            <w:r>
              <w:rPr>
                <w:rFonts w:hint="eastAsia" w:ascii="宋体" w:hAnsi="宋体" w:eastAsia="宋体"/>
                <w:color w:val="auto"/>
                <w:sz w:val="21"/>
                <w:szCs w:val="21"/>
                <w:lang w:val="zh-CN"/>
              </w:rPr>
              <w:t>（</w:t>
            </w:r>
            <w:r>
              <w:rPr>
                <w:rFonts w:hint="eastAsia" w:ascii="宋体" w:hAnsi="宋体" w:eastAsia="宋体"/>
                <w:color w:val="auto"/>
                <w:sz w:val="21"/>
                <w:szCs w:val="21"/>
              </w:rPr>
              <w:t>3</w:t>
            </w:r>
            <w:r>
              <w:rPr>
                <w:rFonts w:hint="eastAsia" w:ascii="宋体" w:hAnsi="宋体" w:eastAsia="宋体"/>
                <w:color w:val="auto"/>
                <w:sz w:val="21"/>
                <w:szCs w:val="21"/>
                <w:lang w:val="zh-CN"/>
              </w:rPr>
              <w:t>）投标保证金退还联系电话：</w:t>
            </w:r>
            <w:r>
              <w:rPr>
                <w:rFonts w:hint="eastAsia" w:ascii="宋体" w:hAnsi="宋体" w:eastAsia="宋体"/>
                <w:color w:val="auto"/>
                <w:sz w:val="21"/>
                <w:szCs w:val="21"/>
              </w:rPr>
              <w:t>0769-21862660-801。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11</w:t>
            </w:r>
          </w:p>
        </w:tc>
        <w:tc>
          <w:tcPr>
            <w:tcW w:w="7532" w:type="dxa"/>
            <w:gridSpan w:val="5"/>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w:t>
            </w:r>
            <w:r>
              <w:rPr>
                <w:rFonts w:hint="eastAsia" w:ascii="宋体" w:hAnsi="宋体" w:eastAsia="宋体"/>
                <w:b/>
                <w:color w:val="auto"/>
                <w:sz w:val="21"/>
                <w:szCs w:val="21"/>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12</w:t>
            </w:r>
          </w:p>
        </w:tc>
        <w:tc>
          <w:tcPr>
            <w:tcW w:w="7532" w:type="dxa"/>
            <w:gridSpan w:val="5"/>
            <w:vAlign w:val="center"/>
          </w:tcPr>
          <w:p>
            <w:pPr>
              <w:spacing w:after="0"/>
              <w:jc w:val="center"/>
              <w:rPr>
                <w:rFonts w:ascii="宋体" w:hAnsi="宋体" w:eastAsia="宋体"/>
                <w:color w:val="auto"/>
                <w:sz w:val="21"/>
                <w:szCs w:val="21"/>
              </w:rPr>
            </w:pPr>
            <w:r>
              <w:rPr>
                <w:rFonts w:hint="eastAsia" w:ascii="宋体" w:hAnsi="宋体" w:eastAsia="宋体"/>
                <w:b/>
                <w:color w:val="auto"/>
                <w:sz w:val="21"/>
                <w:szCs w:val="21"/>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rPr>
            </w:pPr>
          </w:p>
        </w:tc>
        <w:tc>
          <w:tcPr>
            <w:tcW w:w="3766" w:type="dxa"/>
            <w:gridSpan w:val="3"/>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信用中国</w:t>
            </w:r>
          </w:p>
        </w:tc>
        <w:tc>
          <w:tcPr>
            <w:tcW w:w="3766" w:type="dxa"/>
            <w:gridSpan w:val="2"/>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rPr>
            </w:pPr>
          </w:p>
        </w:tc>
        <w:tc>
          <w:tcPr>
            <w:tcW w:w="3766" w:type="dxa"/>
            <w:gridSpan w:val="3"/>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https://www.creditchina.gov.cn/</w:t>
            </w:r>
          </w:p>
        </w:tc>
        <w:tc>
          <w:tcPr>
            <w:tcW w:w="3766" w:type="dxa"/>
            <w:gridSpan w:val="2"/>
            <w:vAlign w:val="center"/>
          </w:tcPr>
          <w:p>
            <w:pPr>
              <w:spacing w:after="0"/>
              <w:jc w:val="center"/>
              <w:rPr>
                <w:rFonts w:ascii="宋体" w:hAnsi="宋体" w:eastAsia="宋体"/>
                <w:color w:val="auto"/>
                <w:sz w:val="21"/>
                <w:szCs w:val="21"/>
              </w:rPr>
            </w:pPr>
            <w:r>
              <w:rPr>
                <w:rFonts w:ascii="宋体" w:hAnsi="宋体" w:eastAsia="宋体"/>
                <w:color w:val="auto"/>
                <w:sz w:val="21"/>
                <w:szCs w:val="21"/>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13</w:t>
            </w:r>
          </w:p>
        </w:tc>
        <w:tc>
          <w:tcPr>
            <w:tcW w:w="7532" w:type="dxa"/>
            <w:gridSpan w:val="5"/>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rPr>
            </w:pPr>
          </w:p>
        </w:tc>
        <w:tc>
          <w:tcPr>
            <w:tcW w:w="2608" w:type="dxa"/>
            <w:gridSpan w:val="2"/>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投标文件类型</w:t>
            </w:r>
          </w:p>
        </w:tc>
        <w:tc>
          <w:tcPr>
            <w:tcW w:w="4924" w:type="dxa"/>
            <w:gridSpan w:val="3"/>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rPr>
            </w:pPr>
          </w:p>
        </w:tc>
        <w:tc>
          <w:tcPr>
            <w:tcW w:w="2608" w:type="dxa"/>
            <w:gridSpan w:val="2"/>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开标文件</w:t>
            </w:r>
          </w:p>
        </w:tc>
        <w:tc>
          <w:tcPr>
            <w:tcW w:w="4924" w:type="dxa"/>
            <w:gridSpan w:val="3"/>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rPr>
            </w:pPr>
          </w:p>
        </w:tc>
        <w:tc>
          <w:tcPr>
            <w:tcW w:w="2608" w:type="dxa"/>
            <w:gridSpan w:val="2"/>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投标文件正本</w:t>
            </w:r>
          </w:p>
        </w:tc>
        <w:tc>
          <w:tcPr>
            <w:tcW w:w="4924" w:type="dxa"/>
            <w:gridSpan w:val="3"/>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rPr>
            </w:pPr>
          </w:p>
        </w:tc>
        <w:tc>
          <w:tcPr>
            <w:tcW w:w="2608" w:type="dxa"/>
            <w:gridSpan w:val="2"/>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投标文件副本</w:t>
            </w:r>
          </w:p>
        </w:tc>
        <w:tc>
          <w:tcPr>
            <w:tcW w:w="4924" w:type="dxa"/>
            <w:gridSpan w:val="3"/>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rPr>
            </w:pPr>
          </w:p>
        </w:tc>
        <w:tc>
          <w:tcPr>
            <w:tcW w:w="2608" w:type="dxa"/>
            <w:gridSpan w:val="2"/>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电子文档</w:t>
            </w:r>
          </w:p>
        </w:tc>
        <w:tc>
          <w:tcPr>
            <w:tcW w:w="4924" w:type="dxa"/>
            <w:gridSpan w:val="3"/>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6"/>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14</w:t>
            </w:r>
          </w:p>
        </w:tc>
        <w:tc>
          <w:tcPr>
            <w:tcW w:w="7532" w:type="dxa"/>
            <w:gridSpan w:val="5"/>
            <w:vAlign w:val="center"/>
          </w:tcPr>
          <w:p>
            <w:pPr>
              <w:spacing w:after="0"/>
              <w:jc w:val="both"/>
              <w:rPr>
                <w:rFonts w:ascii="宋体" w:hAnsi="宋体" w:eastAsia="宋体"/>
                <w:color w:val="auto"/>
                <w:sz w:val="21"/>
                <w:szCs w:val="21"/>
              </w:rPr>
            </w:pPr>
            <w:r>
              <w:rPr>
                <w:rFonts w:hint="eastAsia" w:ascii="宋体" w:hAnsi="宋体" w:eastAsia="宋体"/>
                <w:b/>
                <w:color w:val="auto"/>
                <w:sz w:val="21"/>
                <w:szCs w:val="21"/>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15</w:t>
            </w:r>
          </w:p>
        </w:tc>
        <w:tc>
          <w:tcPr>
            <w:tcW w:w="7532" w:type="dxa"/>
            <w:gridSpan w:val="5"/>
            <w:vAlign w:val="center"/>
          </w:tcPr>
          <w:p>
            <w:pPr>
              <w:spacing w:after="0"/>
              <w:jc w:val="both"/>
              <w:rPr>
                <w:rFonts w:ascii="宋体" w:hAnsi="宋体" w:eastAsia="宋体"/>
                <w:b/>
                <w:color w:val="auto"/>
                <w:sz w:val="21"/>
                <w:szCs w:val="21"/>
              </w:rPr>
            </w:pPr>
            <w:r>
              <w:rPr>
                <w:rFonts w:hint="eastAsia" w:ascii="宋体" w:hAnsi="宋体" w:eastAsia="宋体"/>
                <w:b/>
                <w:color w:val="auto"/>
                <w:sz w:val="21"/>
                <w:szCs w:val="21"/>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见附表一。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16</w:t>
            </w:r>
          </w:p>
        </w:tc>
        <w:tc>
          <w:tcPr>
            <w:tcW w:w="7532" w:type="dxa"/>
            <w:gridSpan w:val="5"/>
            <w:vAlign w:val="center"/>
          </w:tcPr>
          <w:p>
            <w:pPr>
              <w:spacing w:after="0"/>
              <w:jc w:val="both"/>
              <w:rPr>
                <w:rFonts w:ascii="宋体" w:hAnsi="宋体" w:eastAsia="宋体"/>
                <w:color w:val="auto"/>
                <w:sz w:val="21"/>
                <w:szCs w:val="21"/>
              </w:rPr>
            </w:pPr>
            <w:r>
              <w:rPr>
                <w:rFonts w:hint="eastAsia" w:ascii="宋体" w:hAnsi="宋体" w:eastAsia="宋体"/>
                <w:b/>
                <w:color w:val="auto"/>
                <w:sz w:val="21"/>
                <w:szCs w:val="21"/>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jc w:val="both"/>
              <w:rPr>
                <w:rFonts w:ascii="宋体" w:hAnsi="宋体" w:eastAsia="宋体"/>
                <w:color w:val="auto"/>
                <w:sz w:val="21"/>
                <w:szCs w:val="21"/>
              </w:rPr>
            </w:pPr>
            <w:r>
              <w:rPr>
                <w:rFonts w:hint="eastAsia" w:ascii="宋体" w:hAnsi="宋体" w:eastAsia="宋体"/>
                <w:color w:val="auto"/>
                <w:sz w:val="21"/>
                <w:szCs w:val="21"/>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jc w:val="both"/>
              <w:rPr>
                <w:rFonts w:ascii="宋体" w:hAnsi="宋体" w:eastAsia="宋体"/>
                <w:color w:val="auto"/>
                <w:sz w:val="21"/>
                <w:szCs w:val="21"/>
              </w:rPr>
            </w:pPr>
            <w:r>
              <w:rPr>
                <w:rFonts w:hint="eastAsia" w:ascii="宋体" w:hAnsi="宋体" w:eastAsia="宋体"/>
                <w:b/>
                <w:color w:val="auto"/>
                <w:sz w:val="21"/>
                <w:szCs w:val="21"/>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jc w:val="both"/>
              <w:rPr>
                <w:rFonts w:ascii="宋体" w:hAnsi="宋体" w:eastAsia="宋体"/>
                <w:color w:val="auto"/>
                <w:sz w:val="21"/>
                <w:szCs w:val="21"/>
              </w:rPr>
            </w:pPr>
            <w:r>
              <w:rPr>
                <w:rFonts w:hint="eastAsia" w:ascii="宋体" w:hAnsi="宋体" w:eastAsia="宋体"/>
                <w:color w:val="auto"/>
                <w:sz w:val="21"/>
                <w:szCs w:val="21"/>
              </w:rPr>
              <w:t>2%。</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jc w:val="both"/>
              <w:rPr>
                <w:rFonts w:ascii="宋体" w:hAnsi="宋体" w:eastAsia="宋体"/>
                <w:color w:val="auto"/>
                <w:sz w:val="21"/>
                <w:szCs w:val="21"/>
              </w:rPr>
            </w:pPr>
            <w:r>
              <w:rPr>
                <w:rFonts w:hint="eastAsia" w:ascii="宋体" w:hAnsi="宋体" w:eastAsia="宋体"/>
                <w:b/>
                <w:bCs/>
                <w:color w:val="auto"/>
                <w:sz w:val="21"/>
                <w:szCs w:val="21"/>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jc w:val="both"/>
              <w:rPr>
                <w:rFonts w:ascii="宋体" w:hAnsi="宋体" w:eastAsia="宋体"/>
                <w:color w:val="auto"/>
                <w:sz w:val="21"/>
                <w:szCs w:val="21"/>
              </w:rPr>
            </w:pPr>
            <w:r>
              <w:rPr>
                <w:rFonts w:hint="eastAsia" w:ascii="宋体" w:hAnsi="宋体" w:eastAsia="宋体"/>
                <w:color w:val="auto"/>
                <w:sz w:val="21"/>
                <w:szCs w:val="21"/>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6"/>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17</w:t>
            </w:r>
          </w:p>
        </w:tc>
        <w:tc>
          <w:tcPr>
            <w:tcW w:w="7532" w:type="dxa"/>
            <w:gridSpan w:val="5"/>
            <w:shd w:val="clear" w:color="auto" w:fill="auto"/>
            <w:vAlign w:val="center"/>
          </w:tcPr>
          <w:p>
            <w:pPr>
              <w:spacing w:after="0"/>
              <w:jc w:val="both"/>
              <w:rPr>
                <w:rFonts w:ascii="宋体" w:hAnsi="宋体" w:eastAsia="宋体"/>
                <w:b/>
                <w:color w:val="auto"/>
                <w:sz w:val="21"/>
                <w:szCs w:val="21"/>
              </w:rPr>
            </w:pPr>
            <w:r>
              <w:rPr>
                <w:rFonts w:hint="eastAsia" w:ascii="宋体" w:hAnsi="宋体" w:eastAsia="宋体"/>
                <w:b/>
                <w:color w:val="auto"/>
                <w:sz w:val="21"/>
                <w:szCs w:val="21"/>
              </w:rPr>
              <w:t>履约保证金（如有需要）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shd w:val="clear" w:color="auto" w:fill="auto"/>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履约保证金的数额为政府采购合同金额的5%。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18</w:t>
            </w:r>
          </w:p>
        </w:tc>
        <w:tc>
          <w:tcPr>
            <w:tcW w:w="7532" w:type="dxa"/>
            <w:gridSpan w:val="5"/>
            <w:vAlign w:val="center"/>
          </w:tcPr>
          <w:p>
            <w:pPr>
              <w:spacing w:after="0"/>
              <w:jc w:val="both"/>
              <w:rPr>
                <w:rFonts w:ascii="宋体" w:hAnsi="宋体" w:eastAsia="宋体"/>
                <w:b/>
                <w:color w:val="auto"/>
                <w:sz w:val="21"/>
                <w:szCs w:val="21"/>
              </w:rPr>
            </w:pPr>
            <w:r>
              <w:rPr>
                <w:rFonts w:hint="eastAsia" w:ascii="宋体" w:hAnsi="宋体" w:eastAsia="宋体"/>
                <w:b/>
                <w:color w:val="auto"/>
                <w:sz w:val="21"/>
                <w:szCs w:val="21"/>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widowControl w:val="0"/>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widowControl w:val="0"/>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（2）中标服务费以转账或现金的形式支付。采购代理机构服务费汇入账号：</w:t>
            </w:r>
          </w:p>
          <w:p>
            <w:pPr>
              <w:widowControl w:val="0"/>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收 款 人：广东三方诚信招标有限公司东莞分公司</w:t>
            </w:r>
          </w:p>
          <w:p>
            <w:pPr>
              <w:widowControl w:val="0"/>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开户银行：中国工商银行东莞市分行</w:t>
            </w:r>
          </w:p>
          <w:p>
            <w:pPr>
              <w:widowControl w:val="0"/>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账　　号：2010021309900018461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6"/>
            <w:vAlign w:val="center"/>
          </w:tcPr>
          <w:p>
            <w:pPr>
              <w:widowControl w:val="0"/>
              <w:tabs>
                <w:tab w:val="left" w:pos="907"/>
              </w:tabs>
              <w:adjustRightInd/>
              <w:snapToGrid/>
              <w:spacing w:after="0"/>
              <w:ind w:firstLine="420" w:firstLineChars="200"/>
              <w:jc w:val="both"/>
              <w:rPr>
                <w:rFonts w:ascii="宋体" w:hAnsi="宋体" w:eastAsia="宋体"/>
                <w:color w:val="auto"/>
                <w:sz w:val="21"/>
                <w:szCs w:val="21"/>
              </w:rPr>
            </w:pPr>
            <w:r>
              <w:rPr>
                <w:rFonts w:hint="eastAsia" w:ascii="宋体" w:hAnsi="宋体" w:eastAsia="宋体"/>
                <w:color w:val="auto"/>
                <w:sz w:val="21"/>
                <w:szCs w:val="21"/>
              </w:rPr>
              <w:t>注：本表关于要采购项目的具体资料，是对投标人须知的具体补充和修改，如有矛盾，应以本资料表为准。</w:t>
            </w:r>
          </w:p>
        </w:tc>
      </w:tr>
    </w:tbl>
    <w:p>
      <w:pPr>
        <w:jc w:val="center"/>
        <w:rPr>
          <w:color w:val="auto"/>
        </w:rPr>
      </w:pPr>
      <w:r>
        <w:rPr>
          <w:rFonts w:hint="eastAsia"/>
          <w:color w:val="auto"/>
        </w:rPr>
        <w:br w:type="page"/>
      </w:r>
    </w:p>
    <w:p>
      <w:pPr>
        <w:pStyle w:val="5"/>
        <w:spacing w:before="0" w:after="0" w:line="240" w:lineRule="auto"/>
        <w:jc w:val="center"/>
        <w:rPr>
          <w:rFonts w:ascii="宋体" w:hAnsi="宋体" w:eastAsia="宋体" w:cs="宋体"/>
          <w:color w:val="auto"/>
          <w:sz w:val="24"/>
          <w:szCs w:val="24"/>
        </w:rPr>
      </w:pPr>
      <w:bookmarkStart w:id="3" w:name="_Toc9572"/>
      <w:r>
        <w:rPr>
          <w:rFonts w:hint="eastAsia" w:ascii="宋体" w:hAnsi="宋体" w:eastAsia="宋体" w:cs="宋体"/>
          <w:color w:val="auto"/>
          <w:sz w:val="24"/>
          <w:szCs w:val="24"/>
        </w:rPr>
        <w:t>附表二：商务技术评分及价格权重表</w:t>
      </w:r>
      <w:bookmarkEnd w:id="3"/>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762"/>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序号</w:t>
            </w:r>
          </w:p>
        </w:tc>
        <w:tc>
          <w:tcPr>
            <w:tcW w:w="1607"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评审项目</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分值</w:t>
            </w:r>
          </w:p>
        </w:tc>
        <w:tc>
          <w:tcPr>
            <w:tcW w:w="5463"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商务评审（25分）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690" w:type="dxa"/>
            <w:tcBorders>
              <w:top w:val="single" w:color="auto" w:sz="4" w:space="0"/>
              <w:left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1</w:t>
            </w:r>
          </w:p>
        </w:tc>
        <w:tc>
          <w:tcPr>
            <w:tcW w:w="1607" w:type="dxa"/>
            <w:tcBorders>
              <w:top w:val="single" w:color="auto" w:sz="4" w:space="0"/>
              <w:left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公司资质</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3分</w:t>
            </w:r>
          </w:p>
        </w:tc>
        <w:tc>
          <w:tcPr>
            <w:tcW w:w="5463" w:type="dxa"/>
            <w:tcBorders>
              <w:top w:val="single" w:color="auto" w:sz="4" w:space="0"/>
              <w:left w:val="single" w:color="auto" w:sz="4" w:space="0"/>
              <w:bottom w:val="single" w:color="auto" w:sz="4" w:space="0"/>
              <w:right w:val="single" w:color="auto" w:sz="4" w:space="0"/>
            </w:tcBorders>
            <w:vAlign w:val="center"/>
          </w:tcPr>
          <w:p>
            <w:pPr>
              <w:pStyle w:val="27"/>
              <w:spacing w:before="36" w:beforeLines="10" w:after="36" w:afterLines="10" w:line="240" w:lineRule="auto"/>
              <w:ind w:firstLine="420" w:firstLineChars="200"/>
              <w:rPr>
                <w:rFonts w:ascii="宋体" w:eastAsia="宋体" w:cs="宋体"/>
                <w:bCs/>
                <w:color w:val="auto"/>
                <w:sz w:val="21"/>
                <w:szCs w:val="21"/>
                <w:lang w:val="zh-CN"/>
              </w:rPr>
            </w:pPr>
            <w:r>
              <w:rPr>
                <w:rFonts w:hint="eastAsia" w:ascii="宋体" w:eastAsia="宋体" w:cs="宋体"/>
                <w:bCs/>
                <w:color w:val="auto"/>
                <w:sz w:val="21"/>
                <w:szCs w:val="21"/>
              </w:rPr>
              <w:t>1</w:t>
            </w:r>
            <w:r>
              <w:rPr>
                <w:rFonts w:hint="eastAsia" w:ascii="宋体" w:eastAsia="宋体" w:cs="宋体"/>
                <w:bCs/>
                <w:color w:val="auto"/>
                <w:sz w:val="21"/>
                <w:szCs w:val="21"/>
                <w:lang w:val="zh-CN"/>
              </w:rPr>
              <w:t>. 具有电子与智能化工程专业承包壹级得2分，电子与智能化工程专业承包贰级得1分，没有不得分。</w:t>
            </w:r>
          </w:p>
          <w:p>
            <w:pPr>
              <w:pStyle w:val="27"/>
              <w:spacing w:before="36" w:beforeLines="10" w:after="36" w:afterLines="10" w:line="240" w:lineRule="auto"/>
              <w:ind w:firstLine="420" w:firstLineChars="200"/>
              <w:rPr>
                <w:rFonts w:ascii="宋体" w:eastAsia="宋体" w:cs="宋体"/>
                <w:bCs/>
                <w:color w:val="auto"/>
                <w:sz w:val="21"/>
                <w:szCs w:val="21"/>
                <w:lang w:val="zh-CN"/>
              </w:rPr>
            </w:pPr>
            <w:r>
              <w:rPr>
                <w:rFonts w:hint="eastAsia" w:ascii="宋体" w:eastAsia="宋体" w:cs="宋体"/>
                <w:bCs/>
                <w:color w:val="auto"/>
                <w:sz w:val="21"/>
                <w:szCs w:val="21"/>
                <w:lang w:val="zh-CN"/>
              </w:rPr>
              <w:t>2.</w:t>
            </w:r>
            <w:r>
              <w:rPr>
                <w:rFonts w:hint="eastAsia" w:ascii="宋体"/>
                <w:color w:val="auto"/>
                <w:sz w:val="18"/>
                <w:szCs w:val="18"/>
              </w:rPr>
              <w:t xml:space="preserve"> </w:t>
            </w:r>
            <w:r>
              <w:rPr>
                <w:rFonts w:hint="eastAsia" w:asciiTheme="minorEastAsia" w:hAnsiTheme="minorEastAsia" w:eastAsiaTheme="minorEastAsia"/>
                <w:color w:val="auto"/>
                <w:sz w:val="20"/>
                <w:szCs w:val="18"/>
              </w:rPr>
              <w:t>具有通信工程施工总承包资质证书得1分，没有不得分。</w:t>
            </w:r>
          </w:p>
          <w:p>
            <w:pPr>
              <w:pStyle w:val="27"/>
              <w:spacing w:before="36" w:beforeLines="10" w:after="36" w:afterLines="10" w:line="240" w:lineRule="auto"/>
              <w:ind w:firstLine="420" w:firstLineChars="200"/>
              <w:rPr>
                <w:rFonts w:ascii="宋体" w:eastAsia="宋体" w:cs="宋体"/>
                <w:bCs/>
                <w:color w:val="auto"/>
                <w:sz w:val="21"/>
                <w:szCs w:val="21"/>
                <w:lang w:val="zh-CN"/>
              </w:rPr>
            </w:pPr>
            <w:r>
              <w:rPr>
                <w:rFonts w:hint="eastAsia" w:ascii="宋体" w:eastAsia="宋体" w:cs="宋体"/>
                <w:bCs/>
                <w:color w:val="auto"/>
                <w:sz w:val="21"/>
                <w:szCs w:val="21"/>
                <w:lang w:val="zh-CN"/>
              </w:rPr>
              <w:t xml:space="preserve"> (提供材料范围含其上级公司、上级公司的分支机构或集团公司)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2</w:t>
            </w:r>
          </w:p>
        </w:tc>
        <w:tc>
          <w:tcPr>
            <w:tcW w:w="1607"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投标人信誉</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3分</w:t>
            </w:r>
          </w:p>
        </w:tc>
        <w:tc>
          <w:tcPr>
            <w:tcW w:w="5463" w:type="dxa"/>
            <w:tcBorders>
              <w:top w:val="single" w:color="auto" w:sz="4" w:space="0"/>
              <w:left w:val="single" w:color="auto" w:sz="4" w:space="0"/>
              <w:bottom w:val="single" w:color="auto" w:sz="4" w:space="0"/>
              <w:right w:val="single" w:color="auto" w:sz="4" w:space="0"/>
            </w:tcBorders>
            <w:vAlign w:val="center"/>
          </w:tcPr>
          <w:p>
            <w:pPr>
              <w:pStyle w:val="27"/>
              <w:spacing w:before="36" w:beforeLines="10" w:after="36" w:afterLines="10" w:line="240" w:lineRule="auto"/>
              <w:ind w:firstLine="420" w:firstLineChars="200"/>
              <w:rPr>
                <w:rFonts w:ascii="宋体" w:eastAsia="宋体" w:cs="宋体"/>
                <w:bCs/>
                <w:color w:val="auto"/>
                <w:sz w:val="21"/>
                <w:szCs w:val="21"/>
                <w:lang w:val="zh-CN"/>
              </w:rPr>
            </w:pPr>
            <w:r>
              <w:rPr>
                <w:rFonts w:hint="eastAsia" w:ascii="宋体" w:eastAsia="宋体" w:cs="宋体"/>
                <w:bCs/>
                <w:color w:val="auto"/>
                <w:sz w:val="21"/>
                <w:szCs w:val="21"/>
                <w:lang w:val="zh-CN"/>
              </w:rPr>
              <w:t>1、投标人具有行业协会或银行或行政部门或第三方测评机构颁发的信用等级证书的（有效期内），AAA级或以上得1分。</w:t>
            </w:r>
          </w:p>
          <w:p>
            <w:pPr>
              <w:pStyle w:val="27"/>
              <w:spacing w:before="36" w:beforeLines="10" w:after="36" w:afterLines="10" w:line="240" w:lineRule="auto"/>
              <w:ind w:firstLine="420" w:firstLineChars="200"/>
              <w:rPr>
                <w:rFonts w:ascii="宋体" w:eastAsia="宋体" w:cs="宋体"/>
                <w:bCs/>
                <w:color w:val="auto"/>
                <w:sz w:val="21"/>
                <w:szCs w:val="21"/>
                <w:lang w:val="zh-CN"/>
              </w:rPr>
            </w:pPr>
            <w:r>
              <w:rPr>
                <w:rFonts w:hint="eastAsia" w:ascii="宋体" w:eastAsia="宋体" w:cs="宋体"/>
                <w:bCs/>
                <w:color w:val="auto"/>
                <w:sz w:val="21"/>
                <w:szCs w:val="21"/>
                <w:lang w:val="zh-CN"/>
              </w:rPr>
              <w:t>2、投标人有获得省级或以上政府部门或安防协会颁发的“智慧城市建设”奖项的，得1分,否则得0分。</w:t>
            </w:r>
          </w:p>
          <w:p>
            <w:pPr>
              <w:pStyle w:val="27"/>
              <w:spacing w:before="36" w:beforeLines="10" w:after="36" w:afterLines="10" w:line="240" w:lineRule="auto"/>
              <w:ind w:firstLine="420" w:firstLineChars="200"/>
              <w:rPr>
                <w:rFonts w:ascii="宋体" w:eastAsia="宋体" w:cs="宋体"/>
                <w:bCs/>
                <w:color w:val="auto"/>
                <w:sz w:val="21"/>
                <w:szCs w:val="21"/>
                <w:lang w:val="zh-CN"/>
              </w:rPr>
            </w:pPr>
            <w:r>
              <w:rPr>
                <w:rFonts w:hint="eastAsia" w:ascii="宋体" w:eastAsia="宋体" w:cs="宋体"/>
                <w:bCs/>
                <w:color w:val="auto"/>
                <w:sz w:val="21"/>
                <w:szCs w:val="21"/>
                <w:lang w:val="zh-CN"/>
              </w:rPr>
              <w:t>3、投标人所完成视频监控项目有获得省级或以上政府部门或安防协会颁发的 “典范工程”的，得1分,无不得分。</w:t>
            </w:r>
          </w:p>
          <w:p>
            <w:pPr>
              <w:pStyle w:val="27"/>
              <w:spacing w:before="36" w:beforeLines="10" w:after="36" w:afterLines="10" w:line="240" w:lineRule="auto"/>
              <w:ind w:firstLine="420" w:firstLineChars="200"/>
              <w:rPr>
                <w:rFonts w:ascii="宋体" w:eastAsia="宋体" w:cs="宋体"/>
                <w:bCs/>
                <w:color w:val="auto"/>
                <w:sz w:val="21"/>
                <w:szCs w:val="21"/>
                <w:lang w:val="zh-CN"/>
              </w:rPr>
            </w:pPr>
            <w:r>
              <w:rPr>
                <w:rFonts w:hint="eastAsia" w:ascii="宋体" w:eastAsia="宋体" w:cs="宋体"/>
                <w:bCs/>
                <w:color w:val="auto"/>
                <w:sz w:val="21"/>
                <w:szCs w:val="21"/>
                <w:lang w:val="zh-CN"/>
              </w:rPr>
              <w:t>(提供材料范围含其上级公司、上级公司的分支机构或集团公司，须提供以上有效证书复印件加盖投标人公章)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3</w:t>
            </w:r>
          </w:p>
        </w:tc>
        <w:tc>
          <w:tcPr>
            <w:tcW w:w="1607"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管理体系认证情况</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9分</w:t>
            </w:r>
          </w:p>
        </w:tc>
        <w:tc>
          <w:tcPr>
            <w:tcW w:w="5463" w:type="dxa"/>
            <w:tcBorders>
              <w:top w:val="single" w:color="auto" w:sz="4" w:space="0"/>
              <w:left w:val="single" w:color="auto" w:sz="4" w:space="0"/>
              <w:bottom w:val="single" w:color="auto" w:sz="4" w:space="0"/>
              <w:right w:val="single" w:color="auto" w:sz="4" w:space="0"/>
            </w:tcBorders>
            <w:vAlign w:val="center"/>
          </w:tcPr>
          <w:p>
            <w:pPr>
              <w:pStyle w:val="27"/>
              <w:spacing w:before="36" w:beforeLines="10" w:after="36" w:afterLines="10" w:line="240" w:lineRule="auto"/>
              <w:ind w:firstLine="420" w:firstLineChars="200"/>
              <w:rPr>
                <w:rFonts w:ascii="宋体" w:eastAsia="宋体" w:cs="宋体"/>
                <w:bCs/>
                <w:color w:val="auto"/>
                <w:sz w:val="21"/>
                <w:szCs w:val="21"/>
                <w:lang w:val="zh-CN"/>
              </w:rPr>
            </w:pPr>
            <w:r>
              <w:rPr>
                <w:rFonts w:hint="eastAsia" w:ascii="宋体" w:eastAsia="宋体" w:cs="宋体"/>
                <w:bCs/>
                <w:color w:val="auto"/>
                <w:sz w:val="21"/>
                <w:szCs w:val="21"/>
                <w:lang w:val="zh-CN"/>
              </w:rPr>
              <w:t>投标人具有：</w:t>
            </w:r>
          </w:p>
          <w:p>
            <w:pPr>
              <w:pStyle w:val="27"/>
              <w:spacing w:before="36" w:beforeLines="10" w:after="36" w:afterLines="10" w:line="240" w:lineRule="auto"/>
              <w:ind w:firstLine="420" w:firstLineChars="200"/>
              <w:rPr>
                <w:rFonts w:ascii="宋体" w:eastAsia="宋体" w:cs="宋体"/>
                <w:bCs/>
                <w:color w:val="auto"/>
                <w:sz w:val="21"/>
                <w:szCs w:val="21"/>
                <w:lang w:val="zh-CN"/>
              </w:rPr>
            </w:pPr>
            <w:r>
              <w:rPr>
                <w:rFonts w:hint="eastAsia" w:ascii="宋体" w:eastAsia="宋体" w:cs="宋体"/>
                <w:bCs/>
                <w:color w:val="auto"/>
                <w:sz w:val="21"/>
                <w:szCs w:val="21"/>
                <w:lang w:val="zh-CN"/>
              </w:rPr>
              <w:t xml:space="preserve">1、质量管理体系认证证书（1.5分）； </w:t>
            </w:r>
          </w:p>
          <w:p>
            <w:pPr>
              <w:pStyle w:val="27"/>
              <w:spacing w:before="36" w:beforeLines="10" w:after="36" w:afterLines="10" w:line="240" w:lineRule="auto"/>
              <w:ind w:firstLine="420" w:firstLineChars="200"/>
              <w:rPr>
                <w:rFonts w:ascii="宋体" w:eastAsia="宋体" w:cs="宋体"/>
                <w:bCs/>
                <w:color w:val="auto"/>
                <w:sz w:val="21"/>
                <w:szCs w:val="21"/>
                <w:lang w:val="zh-CN"/>
              </w:rPr>
            </w:pPr>
            <w:r>
              <w:rPr>
                <w:rFonts w:hint="eastAsia" w:ascii="宋体" w:eastAsia="宋体" w:cs="宋体"/>
                <w:bCs/>
                <w:color w:val="auto"/>
                <w:sz w:val="21"/>
                <w:szCs w:val="21"/>
                <w:lang w:val="zh-CN"/>
              </w:rPr>
              <w:t>2、信息技术服务管理体系认证证书（1.5分）；</w:t>
            </w:r>
          </w:p>
          <w:p>
            <w:pPr>
              <w:pStyle w:val="27"/>
              <w:spacing w:before="36" w:beforeLines="10" w:after="36" w:afterLines="10" w:line="240" w:lineRule="auto"/>
              <w:ind w:firstLine="420" w:firstLineChars="200"/>
              <w:rPr>
                <w:rFonts w:ascii="宋体" w:eastAsia="宋体" w:cs="宋体"/>
                <w:bCs/>
                <w:color w:val="auto"/>
                <w:sz w:val="21"/>
                <w:szCs w:val="21"/>
                <w:lang w:val="zh-CN"/>
              </w:rPr>
            </w:pPr>
            <w:r>
              <w:rPr>
                <w:rFonts w:hint="eastAsia" w:ascii="宋体" w:eastAsia="宋体" w:cs="宋体"/>
                <w:bCs/>
                <w:color w:val="auto"/>
                <w:sz w:val="21"/>
                <w:szCs w:val="21"/>
                <w:lang w:val="zh-CN"/>
              </w:rPr>
              <w:t>3、信息安全管理体系认证证书（1.5分）；</w:t>
            </w:r>
          </w:p>
          <w:p>
            <w:pPr>
              <w:pStyle w:val="27"/>
              <w:spacing w:before="36" w:beforeLines="10" w:after="36" w:afterLines="10" w:line="240" w:lineRule="auto"/>
              <w:ind w:firstLine="420" w:firstLineChars="200"/>
              <w:rPr>
                <w:rFonts w:ascii="宋体" w:eastAsia="宋体" w:cs="宋体"/>
                <w:bCs/>
                <w:color w:val="auto"/>
                <w:sz w:val="21"/>
                <w:szCs w:val="21"/>
                <w:lang w:val="zh-CN"/>
              </w:rPr>
            </w:pPr>
            <w:r>
              <w:rPr>
                <w:rFonts w:hint="eastAsia" w:ascii="宋体" w:eastAsia="宋体" w:cs="宋体"/>
                <w:bCs/>
                <w:color w:val="auto"/>
                <w:sz w:val="21"/>
                <w:szCs w:val="21"/>
                <w:lang w:val="zh-CN"/>
              </w:rPr>
              <w:t>4、环境管理体系认证证书（1.5分）；</w:t>
            </w:r>
          </w:p>
          <w:p>
            <w:pPr>
              <w:pStyle w:val="27"/>
              <w:spacing w:before="36" w:beforeLines="10" w:after="36" w:afterLines="10" w:line="240" w:lineRule="auto"/>
              <w:ind w:firstLine="420" w:firstLineChars="200"/>
              <w:rPr>
                <w:rFonts w:ascii="宋体" w:eastAsia="宋体" w:cs="宋体"/>
                <w:bCs/>
                <w:color w:val="auto"/>
                <w:sz w:val="21"/>
                <w:szCs w:val="21"/>
                <w:lang w:val="zh-CN"/>
              </w:rPr>
            </w:pPr>
            <w:r>
              <w:rPr>
                <w:rFonts w:hint="eastAsia" w:ascii="宋体" w:eastAsia="宋体" w:cs="宋体"/>
                <w:bCs/>
                <w:color w:val="auto"/>
                <w:sz w:val="21"/>
                <w:szCs w:val="21"/>
                <w:lang w:val="zh-CN"/>
              </w:rPr>
              <w:t>5、职业健康安全管理体系认证书（1.5分）。</w:t>
            </w:r>
          </w:p>
          <w:p>
            <w:pPr>
              <w:pStyle w:val="27"/>
              <w:spacing w:before="36" w:beforeLines="10" w:after="36" w:afterLines="10" w:line="240" w:lineRule="auto"/>
              <w:ind w:firstLine="420" w:firstLineChars="200"/>
              <w:rPr>
                <w:rFonts w:ascii="宋体" w:eastAsia="宋体" w:cs="宋体"/>
                <w:bCs/>
                <w:color w:val="auto"/>
                <w:sz w:val="21"/>
                <w:szCs w:val="21"/>
                <w:lang w:val="zh-CN"/>
              </w:rPr>
            </w:pPr>
            <w:r>
              <w:rPr>
                <w:rFonts w:hint="eastAsia" w:ascii="宋体" w:eastAsia="宋体" w:cs="宋体"/>
                <w:bCs/>
                <w:color w:val="auto"/>
                <w:sz w:val="21"/>
                <w:szCs w:val="21"/>
                <w:lang w:val="zh-CN"/>
              </w:rPr>
              <w:t>6、安全生产许可证书（1.5分）</w:t>
            </w:r>
          </w:p>
          <w:p>
            <w:pPr>
              <w:pStyle w:val="27"/>
              <w:spacing w:before="36" w:beforeLines="10" w:after="36" w:afterLines="10" w:line="240" w:lineRule="auto"/>
              <w:ind w:firstLine="420" w:firstLineChars="200"/>
              <w:rPr>
                <w:rFonts w:ascii="宋体" w:eastAsia="宋体" w:cs="宋体"/>
                <w:bCs/>
                <w:color w:val="auto"/>
                <w:sz w:val="21"/>
                <w:szCs w:val="21"/>
                <w:lang w:val="zh-CN"/>
              </w:rPr>
            </w:pPr>
            <w:r>
              <w:rPr>
                <w:rFonts w:hint="eastAsia" w:ascii="宋体" w:eastAsia="宋体" w:cs="宋体"/>
                <w:bCs/>
                <w:color w:val="auto"/>
                <w:sz w:val="21"/>
                <w:szCs w:val="21"/>
                <w:lang w:val="zh-CN"/>
              </w:rPr>
              <w:t>以上项目中按照提供每一项资料符合得相应分数，最低得0分。(提供材料范围含其上级公司、上级公司的分支机构或集团公司，须提供以上有效证书复印件加盖投标人公章)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4</w:t>
            </w:r>
          </w:p>
        </w:tc>
        <w:tc>
          <w:tcPr>
            <w:tcW w:w="1607"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业绩</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10分</w:t>
            </w:r>
          </w:p>
        </w:tc>
        <w:tc>
          <w:tcPr>
            <w:tcW w:w="546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eastAsia="宋体" w:cs="宋体"/>
                <w:color w:val="auto"/>
                <w:sz w:val="21"/>
                <w:szCs w:val="21"/>
                <w:lang w:val="zh-CN"/>
              </w:rPr>
            </w:pPr>
            <w:r>
              <w:rPr>
                <w:rFonts w:hint="eastAsia" w:ascii="宋体" w:hAnsi="宋体" w:eastAsia="宋体" w:cs="宋体"/>
                <w:color w:val="auto"/>
                <w:kern w:val="2"/>
                <w:sz w:val="21"/>
                <w:szCs w:val="21"/>
                <w:lang w:val="zh-CN"/>
              </w:rPr>
              <w:t>2017年至今具有公共治安视频监控类项目业绩：</w:t>
            </w:r>
            <w:r>
              <w:rPr>
                <w:rFonts w:hint="eastAsia" w:ascii="宋体" w:eastAsia="宋体" w:cs="宋体"/>
                <w:color w:val="auto"/>
                <w:sz w:val="21"/>
                <w:szCs w:val="21"/>
                <w:lang w:val="zh-CN"/>
              </w:rPr>
              <w:t>单个项目合同每个得1分；本项最高得10分。（须提供完整合同须为与采购单位直接签订，分包、转包等合同不予计分，计算时间以合同签订时间为准的合同复印件加盖公章，时间以合同签订时间为准。，项目范围含其上级公司、上级公司的分支机构或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技术评审（45分）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5</w:t>
            </w:r>
          </w:p>
        </w:tc>
        <w:tc>
          <w:tcPr>
            <w:tcW w:w="1607" w:type="dxa"/>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技术参数响应情况</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atLeast"/>
              <w:ind w:firstLine="0" w:firstLineChars="0"/>
              <w:jc w:val="center"/>
              <w:rPr>
                <w:rFonts w:ascii="宋体" w:eastAsia="宋体" w:cs="宋体"/>
                <w:color w:val="auto"/>
                <w:sz w:val="21"/>
                <w:szCs w:val="21"/>
              </w:rPr>
            </w:pPr>
            <w:r>
              <w:rPr>
                <w:rFonts w:hint="eastAsia" w:ascii="宋体" w:eastAsia="宋体" w:cs="宋体"/>
                <w:color w:val="auto"/>
                <w:sz w:val="21"/>
                <w:szCs w:val="21"/>
              </w:rPr>
              <w:t>25分</w:t>
            </w:r>
          </w:p>
        </w:tc>
        <w:tc>
          <w:tcPr>
            <w:tcW w:w="5463" w:type="dxa"/>
            <w:tcBorders>
              <w:top w:val="single" w:color="auto" w:sz="4" w:space="0"/>
              <w:left w:val="single" w:color="auto" w:sz="4" w:space="0"/>
              <w:bottom w:val="single" w:color="auto" w:sz="4" w:space="0"/>
              <w:right w:val="single" w:color="auto" w:sz="4" w:space="0"/>
            </w:tcBorders>
            <w:vAlign w:val="center"/>
          </w:tcPr>
          <w:p>
            <w:pPr>
              <w:spacing w:before="36" w:beforeLines="10" w:after="36" w:afterLines="10"/>
              <w:ind w:firstLine="420" w:firstLineChars="200"/>
              <w:rPr>
                <w:rFonts w:ascii="宋体" w:eastAsia="宋体" w:cs="宋体"/>
                <w:color w:val="auto"/>
                <w:sz w:val="21"/>
                <w:szCs w:val="21"/>
              </w:rPr>
            </w:pPr>
            <w:r>
              <w:rPr>
                <w:rFonts w:hint="eastAsia" w:ascii="宋体" w:eastAsia="宋体" w:cs="宋体"/>
                <w:color w:val="auto"/>
                <w:sz w:val="21"/>
                <w:szCs w:val="21"/>
              </w:rPr>
              <w:t>对所投产品的技术参数响应情况（对应用户需求书主要设备参数要求标注“▲”的参数为重要参数，如果负偏离或不响应，则每项扣1分，扣完为止）。</w:t>
            </w:r>
          </w:p>
          <w:p>
            <w:pPr>
              <w:spacing w:before="36" w:beforeLines="10" w:after="36" w:afterLines="10"/>
              <w:ind w:firstLine="420" w:firstLineChars="200"/>
              <w:rPr>
                <w:rFonts w:ascii="宋体" w:eastAsia="宋体" w:cs="宋体"/>
                <w:color w:val="auto"/>
                <w:sz w:val="21"/>
                <w:szCs w:val="21"/>
              </w:rPr>
            </w:pPr>
            <w:r>
              <w:rPr>
                <w:rFonts w:hint="eastAsia" w:ascii="宋体" w:eastAsia="宋体" w:cs="宋体"/>
                <w:color w:val="auto"/>
                <w:sz w:val="21"/>
                <w:szCs w:val="21"/>
              </w:rPr>
              <w:t>1.对用户需求中的带“▲”技术指标条款，用户需求书要求提供证明资料的，则投标文件中须提供对应产品参数的证明资料并加盖投标人公章；</w:t>
            </w:r>
          </w:p>
          <w:p>
            <w:pPr>
              <w:spacing w:before="36" w:beforeLines="10" w:after="36" w:afterLines="10"/>
              <w:ind w:firstLine="420" w:firstLineChars="200"/>
              <w:rPr>
                <w:rFonts w:ascii="宋体" w:eastAsia="宋体" w:cs="宋体"/>
                <w:color w:val="auto"/>
                <w:sz w:val="21"/>
                <w:szCs w:val="21"/>
              </w:rPr>
            </w:pPr>
            <w:r>
              <w:rPr>
                <w:rFonts w:hint="eastAsia" w:ascii="宋体" w:eastAsia="宋体" w:cs="宋体"/>
                <w:color w:val="auto"/>
                <w:sz w:val="21"/>
                <w:szCs w:val="21"/>
              </w:rPr>
              <w:t>2.对用户需求书中带“▲”技术指标条款，用户需求书未要求提供证明资料的，则投标文件中须提供所投产品彩页原件或原厂商的官方技术白皮书或原厂商所作的技术参数说明等详细技术资料并加盖投标人公章。</w:t>
            </w:r>
          </w:p>
          <w:p>
            <w:pPr>
              <w:spacing w:before="36" w:beforeLines="10" w:after="36" w:afterLines="10"/>
              <w:ind w:firstLine="420" w:firstLineChars="200"/>
              <w:rPr>
                <w:rFonts w:ascii="宋体" w:eastAsia="宋体" w:cs="宋体"/>
                <w:color w:val="auto"/>
                <w:sz w:val="21"/>
                <w:szCs w:val="21"/>
              </w:rPr>
            </w:pPr>
            <w:r>
              <w:rPr>
                <w:rFonts w:hint="eastAsia" w:ascii="宋体" w:eastAsia="宋体" w:cs="宋体"/>
                <w:color w:val="auto"/>
                <w:sz w:val="21"/>
                <w:szCs w:val="21"/>
              </w:rPr>
              <w:t>（投标人必须按所投产品实际参数进行响应，否则视为提供虚假材料谋取中标资格。）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6</w:t>
            </w:r>
          </w:p>
        </w:tc>
        <w:tc>
          <w:tcPr>
            <w:tcW w:w="1607" w:type="dxa"/>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拟投入本项目人员情况（同一人员不得重复得分，以上人员须提供有效证书和社会保障部门出具的近6个月（不含开标当月）以来在投标单位(含其上级公司或集团公司)连续缴纳社会养老保险的有效凭证的复印件加盖公章）</w:t>
            </w:r>
          </w:p>
        </w:tc>
        <w:tc>
          <w:tcPr>
            <w:tcW w:w="7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eastAsia="宋体" w:cs="宋体"/>
                <w:color w:val="auto"/>
                <w:sz w:val="21"/>
                <w:szCs w:val="21"/>
              </w:rPr>
            </w:pPr>
            <w:r>
              <w:rPr>
                <w:rFonts w:hint="eastAsia" w:ascii="宋体" w:eastAsia="宋体" w:cs="宋体"/>
                <w:color w:val="auto"/>
                <w:sz w:val="21"/>
                <w:szCs w:val="21"/>
              </w:rPr>
              <w:t>8分</w:t>
            </w:r>
          </w:p>
        </w:tc>
        <w:tc>
          <w:tcPr>
            <w:tcW w:w="5463" w:type="dxa"/>
            <w:tcBorders>
              <w:top w:val="single" w:color="auto" w:sz="4" w:space="0"/>
              <w:left w:val="single" w:color="auto" w:sz="4" w:space="0"/>
              <w:bottom w:val="single" w:color="auto" w:sz="4" w:space="0"/>
              <w:right w:val="single" w:color="auto" w:sz="4" w:space="0"/>
            </w:tcBorders>
            <w:vAlign w:val="center"/>
          </w:tcPr>
          <w:p>
            <w:pPr>
              <w:pStyle w:val="27"/>
              <w:spacing w:before="36" w:beforeLines="10" w:after="36" w:afterLines="10" w:line="24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拟投入的项目经理具有：</w:t>
            </w:r>
          </w:p>
          <w:p>
            <w:pPr>
              <w:pStyle w:val="27"/>
              <w:spacing w:before="36" w:beforeLines="10" w:after="36" w:afterLines="10" w:line="24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具有工信部门（信息产业部门）或人社部门颁发的高级职称证书（网络类）得1分，中级职称证书（网络类）得0.5分，初级职称证书（网络类）得0.1分，没有不得分；</w:t>
            </w:r>
          </w:p>
          <w:p>
            <w:pPr>
              <w:pStyle w:val="27"/>
              <w:spacing w:before="36" w:beforeLines="10" w:after="36" w:afterLines="10" w:line="24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拟投入的技术负责人具有：</w:t>
            </w:r>
          </w:p>
          <w:p>
            <w:pPr>
              <w:pStyle w:val="27"/>
              <w:spacing w:before="36" w:beforeLines="10" w:after="36" w:afterLines="10" w:line="24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具有工信部门（信息产业部门）或人社部门颁发的高级职称证书（数据库类）得1分，中级职称证书（数据库类）得0.5分，初级职称证书（数据库类）得0.1分，没有不得分；</w:t>
            </w:r>
          </w:p>
          <w:p>
            <w:pPr>
              <w:pStyle w:val="27"/>
              <w:spacing w:before="36" w:beforeLines="10" w:after="36" w:afterLines="10" w:line="24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拟投入的项目团队人员具有：</w:t>
            </w:r>
          </w:p>
          <w:p>
            <w:pPr>
              <w:pStyle w:val="27"/>
              <w:spacing w:before="36" w:beforeLines="10" w:after="36" w:afterLines="10" w:line="24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（1）具有工信部门（信息产业部门）或人社部门颁发的高级职称证书（信息系统类）每一个0.5分，</w:t>
            </w:r>
            <w:r>
              <w:rPr>
                <w:rFonts w:hint="eastAsia"/>
                <w:color w:val="auto"/>
              </w:rPr>
              <w:t xml:space="preserve"> </w:t>
            </w:r>
            <w:r>
              <w:rPr>
                <w:rFonts w:hint="eastAsia" w:ascii="宋体" w:eastAsia="宋体" w:cs="宋体"/>
                <w:color w:val="auto"/>
                <w:sz w:val="21"/>
                <w:szCs w:val="21"/>
                <w:lang w:val="zh-CN"/>
              </w:rPr>
              <w:t>中级职称证书（信息系统类）每一个0.3分，初级职称证书（信息系统类）每一个0.1分，没有不得分；最高3分。</w:t>
            </w:r>
          </w:p>
          <w:p>
            <w:pPr>
              <w:pStyle w:val="27"/>
              <w:spacing w:before="36" w:beforeLines="10" w:after="36" w:afterLines="10" w:line="24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（2）具有人资部门或人社部门颁发颁发的中级职称证书或以上（电子类或网络类）每一个0.5分，初级职称证书或以上（电子类或网络类）每一个0.2分，没有不得分；最高3分。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7</w:t>
            </w:r>
          </w:p>
        </w:tc>
        <w:tc>
          <w:tcPr>
            <w:tcW w:w="1607"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技术方案及施工组织计划</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4分</w:t>
            </w:r>
          </w:p>
        </w:tc>
        <w:tc>
          <w:tcPr>
            <w:tcW w:w="5463" w:type="dxa"/>
            <w:tcBorders>
              <w:top w:val="single" w:color="auto" w:sz="4" w:space="0"/>
              <w:left w:val="single" w:color="auto" w:sz="4" w:space="0"/>
              <w:bottom w:val="single" w:color="auto" w:sz="4" w:space="0"/>
              <w:right w:val="single" w:color="auto" w:sz="4" w:space="0"/>
            </w:tcBorders>
            <w:vAlign w:val="center"/>
          </w:tcPr>
          <w:p>
            <w:pPr>
              <w:pStyle w:val="27"/>
              <w:spacing w:before="36" w:beforeLines="10" w:after="36" w:afterLines="10" w:line="24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根据投标人所投产品性能，所投产品技术可靠性，是否有详细完整的设计方案且满足用户需求及对投标人施工组织进度计划的科学合理、可行性，主要施工方法、安全防护、文明施工措施、拟投入的工装设备等等进行评审。</w:t>
            </w:r>
          </w:p>
          <w:p>
            <w:pPr>
              <w:pStyle w:val="27"/>
              <w:spacing w:before="36" w:beforeLines="10" w:after="36" w:afterLines="10" w:line="24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优：产品性能优异，产品技术先进可靠，有科学完整的设计方案，完全满足项目实施要求及施工计划完整合理、可行性强，完全满足并优于招标文件要求，得4分。</w:t>
            </w:r>
          </w:p>
          <w:p>
            <w:pPr>
              <w:pStyle w:val="27"/>
              <w:spacing w:before="36" w:beforeLines="10" w:after="36" w:afterLines="10" w:line="24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良：产品性能良好，产品技术较先进，有完整的设计方案，基本满足项目实施要求及施工计划完整、可行性一般，符合招标文件要求，得2分。</w:t>
            </w:r>
          </w:p>
          <w:p>
            <w:pPr>
              <w:pStyle w:val="27"/>
              <w:spacing w:before="36" w:beforeLines="10" w:after="36" w:afterLines="10" w:line="24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中：产品性能一般，产品先进性较差，有具体的设计方案及施工计划基本完整、可行性较差，基本满足项目实施要求，得1分。</w:t>
            </w:r>
          </w:p>
          <w:p>
            <w:pPr>
              <w:pStyle w:val="27"/>
              <w:spacing w:before="36" w:beforeLines="10" w:after="36" w:afterLines="10" w:line="24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差：无提供产品性能说明或无提供设计方案及施工计划不得分，得0分。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8</w:t>
            </w:r>
          </w:p>
        </w:tc>
        <w:tc>
          <w:tcPr>
            <w:tcW w:w="1607" w:type="dxa"/>
            <w:tcBorders>
              <w:top w:val="single" w:color="auto" w:sz="4" w:space="0"/>
              <w:left w:val="single" w:color="auto" w:sz="4" w:space="0"/>
              <w:bottom w:val="single" w:color="auto" w:sz="4" w:space="0"/>
              <w:right w:val="single" w:color="auto" w:sz="4" w:space="0"/>
            </w:tcBorders>
            <w:vAlign w:val="center"/>
          </w:tcPr>
          <w:p>
            <w:pPr>
              <w:tabs>
                <w:tab w:val="left" w:pos="8610"/>
              </w:tabs>
              <w:spacing w:line="340" w:lineRule="exact"/>
              <w:jc w:val="center"/>
              <w:rPr>
                <w:rFonts w:ascii="宋体" w:hAnsi="宋体" w:eastAsia="宋体" w:cs="宋体"/>
                <w:color w:val="auto"/>
                <w:sz w:val="21"/>
                <w:szCs w:val="21"/>
              </w:rPr>
            </w:pPr>
            <w:r>
              <w:rPr>
                <w:rFonts w:hint="eastAsia" w:ascii="宋体" w:hAnsi="宋体" w:eastAsia="宋体" w:cs="宋体"/>
                <w:color w:val="auto"/>
                <w:sz w:val="21"/>
                <w:szCs w:val="21"/>
              </w:rPr>
              <w:t>售后服务及应急措施方案</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4分</w:t>
            </w:r>
          </w:p>
        </w:tc>
        <w:tc>
          <w:tcPr>
            <w:tcW w:w="5463" w:type="dxa"/>
            <w:tcBorders>
              <w:top w:val="single" w:color="auto" w:sz="4" w:space="0"/>
              <w:left w:val="single" w:color="auto" w:sz="4" w:space="0"/>
              <w:bottom w:val="single" w:color="auto" w:sz="4" w:space="0"/>
              <w:right w:val="single" w:color="auto" w:sz="4" w:space="0"/>
            </w:tcBorders>
            <w:vAlign w:val="center"/>
          </w:tcPr>
          <w:p>
            <w:pPr>
              <w:pStyle w:val="27"/>
              <w:spacing w:before="36" w:beforeLines="10" w:after="36" w:afterLines="10" w:line="24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对投标人管理运行维护工作基本制度、设备管理、运维管理工作有详细的规划方案，方案描述详细、清晰，方案科学、合理及对本项目设备故障排除及应急处理有详细的规划方案, 设备维护服务流程具备较好的便利性，并能详细描述服务内容等进行评分：</w:t>
            </w:r>
          </w:p>
          <w:p>
            <w:pPr>
              <w:pStyle w:val="27"/>
              <w:spacing w:before="36" w:beforeLines="10" w:after="36" w:afterLines="10" w:line="24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优：整体维护方案及应急方案详细、清晰及科学合理，完全满足并优于招标文件要求，得4分；</w:t>
            </w:r>
          </w:p>
          <w:p>
            <w:pPr>
              <w:pStyle w:val="27"/>
              <w:spacing w:before="36" w:beforeLines="10" w:after="36" w:afterLines="10" w:line="24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良：整体维护方案及应急方案完整、可行性一般，符合招标文件要求，得2分；</w:t>
            </w:r>
          </w:p>
          <w:p>
            <w:pPr>
              <w:pStyle w:val="27"/>
              <w:spacing w:before="36" w:beforeLines="10" w:after="36" w:afterLines="10" w:line="24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中：整体维护方案及应急方案基本完整、可行性较差，基本符合招标文件要求，得1分；</w:t>
            </w:r>
          </w:p>
          <w:p>
            <w:pPr>
              <w:pStyle w:val="27"/>
              <w:spacing w:before="36" w:beforeLines="10" w:after="36" w:afterLines="10" w:line="24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差：未提供售后服务方案及应急方案不得分。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vMerge w:val="restart"/>
            <w:tcBorders>
              <w:top w:val="single" w:color="auto" w:sz="4" w:space="0"/>
              <w:left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9</w:t>
            </w:r>
          </w:p>
        </w:tc>
        <w:tc>
          <w:tcPr>
            <w:tcW w:w="1607" w:type="dxa"/>
            <w:vMerge w:val="restart"/>
            <w:tcBorders>
              <w:top w:val="single" w:color="auto" w:sz="4" w:space="0"/>
              <w:left w:val="single" w:color="auto" w:sz="4" w:space="0"/>
              <w:right w:val="single" w:color="auto" w:sz="4" w:space="0"/>
            </w:tcBorders>
            <w:vAlign w:val="center"/>
          </w:tcPr>
          <w:p>
            <w:pPr>
              <w:tabs>
                <w:tab w:val="left" w:pos="8610"/>
              </w:tabs>
              <w:spacing w:line="340" w:lineRule="exact"/>
              <w:jc w:val="center"/>
              <w:rPr>
                <w:rFonts w:ascii="宋体" w:hAnsi="宋体" w:eastAsia="宋体" w:cs="宋体"/>
                <w:color w:val="auto"/>
                <w:sz w:val="21"/>
                <w:szCs w:val="21"/>
              </w:rPr>
            </w:pPr>
            <w:r>
              <w:rPr>
                <w:rFonts w:hint="eastAsia" w:ascii="宋体" w:hAnsi="宋体" w:eastAsia="宋体" w:cs="宋体"/>
                <w:color w:val="auto"/>
                <w:sz w:val="21"/>
                <w:szCs w:val="21"/>
              </w:rPr>
              <w:t>服务响应情况、服务质量及承诺</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1分</w:t>
            </w:r>
          </w:p>
        </w:tc>
        <w:tc>
          <w:tcPr>
            <w:tcW w:w="5463" w:type="dxa"/>
            <w:tcBorders>
              <w:top w:val="single" w:color="auto" w:sz="4" w:space="0"/>
              <w:left w:val="single" w:color="auto" w:sz="4" w:space="0"/>
              <w:bottom w:val="single" w:color="auto" w:sz="4" w:space="0"/>
              <w:right w:val="single" w:color="auto" w:sz="4" w:space="0"/>
            </w:tcBorders>
            <w:vAlign w:val="center"/>
          </w:tcPr>
          <w:p>
            <w:pPr>
              <w:pStyle w:val="27"/>
              <w:spacing w:before="36" w:beforeLines="10" w:after="36" w:afterLines="10" w:line="24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根据投标人提供的服务响应时间承诺进行评分。</w:t>
            </w:r>
          </w:p>
          <w:p>
            <w:pPr>
              <w:pStyle w:val="27"/>
              <w:spacing w:before="36" w:beforeLines="10" w:after="36" w:afterLines="10" w:line="24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（1）投标人承诺在接到采购人通知后1小时内到现场，得1分；</w:t>
            </w:r>
          </w:p>
          <w:p>
            <w:pPr>
              <w:pStyle w:val="27"/>
              <w:spacing w:before="36" w:beforeLines="10" w:after="36" w:afterLines="10" w:line="24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（2）投标人承诺在接到采购人通知后2小时内到现场，得0.5分；</w:t>
            </w:r>
          </w:p>
          <w:p>
            <w:pPr>
              <w:pStyle w:val="27"/>
              <w:spacing w:before="36" w:beforeLines="10" w:after="36" w:afterLines="10" w:line="24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（投标人需提供服务承诺书，并加盖投标人公章。）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vMerge w:val="continue"/>
            <w:tcBorders>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rPr>
            </w:pPr>
          </w:p>
        </w:tc>
        <w:tc>
          <w:tcPr>
            <w:tcW w:w="1607" w:type="dxa"/>
            <w:vMerge w:val="continue"/>
            <w:tcBorders>
              <w:left w:val="single" w:color="auto" w:sz="4" w:space="0"/>
              <w:bottom w:val="single" w:color="auto" w:sz="4" w:space="0"/>
              <w:right w:val="single" w:color="auto" w:sz="4" w:space="0"/>
            </w:tcBorders>
            <w:vAlign w:val="center"/>
          </w:tcPr>
          <w:p>
            <w:pPr>
              <w:tabs>
                <w:tab w:val="left" w:pos="8610"/>
              </w:tabs>
              <w:spacing w:line="340" w:lineRule="exact"/>
              <w:jc w:val="center"/>
              <w:rPr>
                <w:rFonts w:ascii="宋体" w:hAnsi="宋体" w:eastAsia="宋体" w:cs="宋体"/>
                <w:color w:val="auto"/>
                <w:sz w:val="21"/>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3分</w:t>
            </w:r>
          </w:p>
        </w:tc>
        <w:tc>
          <w:tcPr>
            <w:tcW w:w="5463" w:type="dxa"/>
            <w:tcBorders>
              <w:top w:val="single" w:color="auto" w:sz="4" w:space="0"/>
              <w:left w:val="single" w:color="auto" w:sz="4" w:space="0"/>
              <w:bottom w:val="single" w:color="auto" w:sz="4" w:space="0"/>
              <w:right w:val="single" w:color="auto" w:sz="4" w:space="0"/>
            </w:tcBorders>
            <w:vAlign w:val="center"/>
          </w:tcPr>
          <w:p>
            <w:pPr>
              <w:pStyle w:val="27"/>
              <w:spacing w:before="36" w:beforeLines="10" w:after="36" w:afterLines="10" w:line="24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（1）投标人提供的日常巡查维护车，每提供一辆自有车辆的得0.5分，最高得2分。</w:t>
            </w:r>
          </w:p>
          <w:p>
            <w:pPr>
              <w:pStyle w:val="27"/>
              <w:spacing w:before="36" w:beforeLines="10" w:after="36" w:afterLines="10" w:line="24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（2）投标人提供一辆为中型专项作业车辆，得1分，没有不得分。</w:t>
            </w:r>
          </w:p>
          <w:p>
            <w:pPr>
              <w:pStyle w:val="27"/>
              <w:spacing w:before="36" w:beforeLines="10" w:after="36" w:afterLines="10" w:line="24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（所投入的车辆登记单位须为投标人的，含其上级公司、上级公司的分支机构或集团公司，须提供以上有效证件复印件，并提供清晰车辆照片、有效的车辆行驶证，加盖公章。租赁车辆须同时提供租赁合同。）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after="0" w:line="360" w:lineRule="exact"/>
              <w:ind w:firstLine="422" w:firstLineChars="200"/>
              <w:jc w:val="both"/>
              <w:rPr>
                <w:rFonts w:ascii="宋体" w:hAnsi="宋体" w:eastAsia="宋体"/>
                <w:b/>
                <w:color w:val="auto"/>
                <w:sz w:val="21"/>
                <w:szCs w:val="21"/>
              </w:rPr>
            </w:pPr>
            <w:r>
              <w:rPr>
                <w:rFonts w:hint="eastAsia" w:ascii="宋体" w:hAnsi="宋体" w:eastAsia="宋体"/>
                <w:b/>
                <w:color w:val="auto"/>
                <w:sz w:val="21"/>
                <w:szCs w:val="21"/>
              </w:rPr>
              <w:t>注：</w:t>
            </w:r>
          </w:p>
          <w:p>
            <w:pPr>
              <w:widowControl w:val="0"/>
              <w:tabs>
                <w:tab w:val="left" w:pos="907"/>
              </w:tabs>
              <w:adjustRightInd/>
              <w:snapToGrid/>
              <w:spacing w:after="0" w:line="360" w:lineRule="exact"/>
              <w:ind w:firstLine="422" w:firstLineChars="200"/>
              <w:jc w:val="both"/>
              <w:rPr>
                <w:rFonts w:ascii="宋体" w:hAnsi="宋体" w:eastAsia="宋体"/>
                <w:b/>
                <w:color w:val="auto"/>
                <w:sz w:val="21"/>
                <w:szCs w:val="21"/>
              </w:rPr>
            </w:pPr>
            <w:r>
              <w:rPr>
                <w:rFonts w:hint="eastAsia" w:ascii="宋体" w:hAnsi="宋体" w:eastAsia="宋体"/>
                <w:b/>
                <w:color w:val="auto"/>
                <w:sz w:val="21"/>
                <w:szCs w:val="21"/>
              </w:rPr>
              <w:t>（1）无特殊说明外，以上评审项，同一证明文件不重复计分。</w:t>
            </w:r>
          </w:p>
          <w:p>
            <w:pPr>
              <w:widowControl w:val="0"/>
              <w:tabs>
                <w:tab w:val="left" w:pos="907"/>
              </w:tabs>
              <w:adjustRightInd/>
              <w:snapToGrid/>
              <w:spacing w:after="0" w:line="360" w:lineRule="exact"/>
              <w:ind w:firstLine="422" w:firstLineChars="200"/>
              <w:jc w:val="both"/>
              <w:rPr>
                <w:rFonts w:ascii="宋体" w:eastAsia="宋体" w:cs="宋体"/>
                <w:color w:val="auto"/>
                <w:sz w:val="21"/>
                <w:szCs w:val="21"/>
              </w:rPr>
            </w:pPr>
            <w:r>
              <w:rPr>
                <w:rFonts w:hint="eastAsia" w:ascii="宋体" w:hAnsi="宋体" w:eastAsia="宋体"/>
                <w:b/>
                <w:color w:val="auto"/>
                <w:sz w:val="21"/>
                <w:szCs w:val="21"/>
              </w:rPr>
              <w:t>（2）投标人根据以上评分要求提供的投标材料因模糊不清导致评标委员会无法清晰辨认进行评审的，视为无效材料。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lang w:val="zh-CN"/>
              </w:rPr>
            </w:pPr>
            <w:r>
              <w:rPr>
                <w:rFonts w:hint="eastAsia" w:ascii="宋体" w:eastAsia="宋体" w:cs="宋体"/>
                <w:color w:val="auto"/>
                <w:sz w:val="21"/>
                <w:szCs w:val="21"/>
              </w:rPr>
              <w:br w:type="page"/>
            </w:r>
            <w:r>
              <w:rPr>
                <w:rFonts w:hint="eastAsia" w:ascii="宋体" w:eastAsia="宋体" w:cs="宋体"/>
                <w:color w:val="auto"/>
                <w:sz w:val="21"/>
                <w:szCs w:val="21"/>
              </w:rPr>
              <w:t>价格评审（30分）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10</w:t>
            </w:r>
          </w:p>
        </w:tc>
        <w:tc>
          <w:tcPr>
            <w:tcW w:w="7832" w:type="dxa"/>
            <w:gridSpan w:val="3"/>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after="0" w:line="360" w:lineRule="auto"/>
              <w:ind w:firstLine="420" w:firstLineChars="200"/>
              <w:jc w:val="both"/>
              <w:rPr>
                <w:rFonts w:ascii="宋体" w:hAnsi="宋体" w:eastAsia="宋体"/>
                <w:color w:val="auto"/>
                <w:sz w:val="21"/>
                <w:szCs w:val="21"/>
              </w:rPr>
            </w:pPr>
            <w:r>
              <w:rPr>
                <w:rFonts w:hint="eastAsia" w:ascii="宋体" w:hAnsi="宋体" w:eastAsia="宋体"/>
                <w:color w:val="auto"/>
                <w:sz w:val="21"/>
                <w:szCs w:val="21"/>
              </w:rPr>
              <w:t>价格分计算方法：满足招标文件要求且投标价格最低的投标报价为评标基准价，其价格分为满分。其他投标人的价格分统一按照下列公式计算：</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投标报价得分=(评标基准价／投标报价)×价格权值（30）</w:t>
            </w:r>
          </w:p>
        </w:tc>
      </w:tr>
    </w:tbl>
    <w:p>
      <w:pPr>
        <w:pStyle w:val="44"/>
        <w:rPr>
          <w:color w:val="auto"/>
        </w:rPr>
      </w:pPr>
      <w:r>
        <w:rPr>
          <w:rFonts w:hint="eastAsia"/>
          <w:color w:val="auto"/>
        </w:rPr>
        <w:br w:type="page"/>
      </w:r>
    </w:p>
    <w:p>
      <w:pPr>
        <w:pStyle w:val="4"/>
        <w:spacing w:before="0" w:after="0" w:line="240" w:lineRule="auto"/>
        <w:rPr>
          <w:color w:val="auto"/>
          <w:sz w:val="36"/>
          <w:szCs w:val="36"/>
        </w:rPr>
      </w:pPr>
      <w:bookmarkStart w:id="4" w:name="_Toc31854"/>
      <w:r>
        <w:rPr>
          <w:rFonts w:hint="eastAsia"/>
          <w:color w:val="auto"/>
          <w:sz w:val="28"/>
          <w:szCs w:val="28"/>
        </w:rPr>
        <w:t>第三部分 用户需求书</w:t>
      </w:r>
      <w:bookmarkEnd w:id="4"/>
    </w:p>
    <w:p>
      <w:pPr>
        <w:pStyle w:val="5"/>
        <w:spacing w:before="0" w:after="0" w:line="240" w:lineRule="auto"/>
        <w:jc w:val="center"/>
        <w:rPr>
          <w:rFonts w:ascii="宋体" w:hAnsi="宋体" w:eastAsia="宋体" w:cs="宋体"/>
          <w:color w:val="auto"/>
          <w:sz w:val="24"/>
          <w:szCs w:val="24"/>
        </w:rPr>
      </w:pPr>
      <w:bookmarkStart w:id="5" w:name="_Toc3968"/>
      <w:r>
        <w:rPr>
          <w:rFonts w:hint="eastAsia" w:ascii="宋体" w:hAnsi="宋体" w:eastAsia="宋体" w:cs="宋体"/>
          <w:color w:val="auto"/>
          <w:sz w:val="24"/>
          <w:szCs w:val="24"/>
        </w:rPr>
        <w:t>用户需求明细</w:t>
      </w:r>
      <w:bookmarkEnd w:id="5"/>
    </w:p>
    <w:p>
      <w:pPr>
        <w:pStyle w:val="3"/>
        <w:numPr>
          <w:ilvl w:val="0"/>
          <w:numId w:val="0"/>
        </w:numPr>
        <w:tabs>
          <w:tab w:val="clear" w:pos="432"/>
        </w:tabs>
        <w:autoSpaceDE w:val="0"/>
        <w:autoSpaceDN w:val="0"/>
        <w:spacing w:before="180" w:beforeLines="50" w:after="180" w:afterLines="50"/>
        <w:jc w:val="left"/>
        <w:textAlignment w:val="baseline"/>
        <w:rPr>
          <w:rFonts w:ascii="宋体" w:hAnsi="宋体" w:eastAsia="宋体" w:cs="宋体"/>
          <w:b/>
          <w:bCs/>
          <w:color w:val="auto"/>
          <w:sz w:val="28"/>
          <w:szCs w:val="28"/>
        </w:rPr>
      </w:pPr>
      <w:bookmarkStart w:id="6" w:name="_Toc424425318"/>
      <w:bookmarkStart w:id="7" w:name="_Toc424589219"/>
      <w:bookmarkStart w:id="8" w:name="_Toc31278"/>
      <w:bookmarkStart w:id="9" w:name="_Toc13112"/>
      <w:bookmarkStart w:id="10" w:name="_Toc24679"/>
      <w:bookmarkStart w:id="11" w:name="_Toc14462"/>
      <w:r>
        <w:rPr>
          <w:rFonts w:hint="eastAsia" w:ascii="宋体" w:hAnsi="宋体" w:eastAsia="宋体" w:cs="宋体"/>
          <w:b/>
          <w:bCs/>
          <w:color w:val="auto"/>
          <w:sz w:val="28"/>
          <w:szCs w:val="28"/>
        </w:rPr>
        <w:t>1、项目概述</w:t>
      </w:r>
      <w:bookmarkEnd w:id="6"/>
      <w:bookmarkEnd w:id="7"/>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近年以来，我市贯彻落实省《关于印发&lt;广东省社会治安视频监控系统建设三年规划（2012-2014年）&gt;》及《广东省公共安全视频监控系统建设十三五规划（2016-2020）》等文件精神，在全市开展一类高清视频监控点的建设工作。在镇委镇政府大力支持下，我分局按照市局的统一部署，全力推动视频监控建设工作。按照市公安局党委工作部署和我市工作实际，在大力开展一类高清点建设的同时，要加大二、三类点联网工作力度，进一步提升前端布点和覆盖密度；2018年度各分局要按照1:1的配套比例在开展一类点建设时同步开展二类点联网，到2018年底前实现全市公安机关可联网调阅的二类点数量不少于一类点数量。</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目前，石排镇部分村委自行建设了高清视频监控系统，所有已建的监控视频中均可以达到公安二类视频监控点的标准。</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公共安全视频监控建设联网应用，是新形势下维护国家安全和社会稳定、预防和打击暴力恐怖犯罪的重要手段，对于提升城乡管理水平、创新社会治理体制具有重要意义。</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2014年，公安部下发了《公安信息化建设“十三五”重点任务考虑》，确定了实施视频图像信息综合应用工程，建设视频图像信息解析综合应用服务中心的任务，满足视频图像信息结构化分析、视音频资源快速检索、大数据比对碰撞等服务需求，构建视频图像信息结构化描述数据库，构筑以人、车、物为重点关注目标的视频图像信息线索、案事件、关联研判等多类专题业务数据库。</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2015年，公安部制定的《关于进一步加强公安机关视频监控应用工作的意见》，明确了逐步将视频监控打造成为决策指挥中实时监控和驾驭全局的新支撑、治安防控中震慑犯罪和精确打击的新手段、侦查破案中线索采集和证据固定的新来源、社会管理中便民利民和服务群众的新方式。同年，公安部科技信息化局印发的《关于深入贯彻落实公安改革第41项任务的分工安排（2015-2017年）》，将“加快公共安全视频图像资源联网整合，提升视频图像技术服务实战综合效能”列为全面深化公安改革的第41项任务。</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2016年5月23日，全国公安机关社会治安防控体系建设推进会议上，郭声琨同志强调，深入推进立体化社会治安防控体系建设，全面提升动态化、信息化条件下社会治安治理能力，要积极适应现代科技和大数据发展新形势，加强顶层设计，加快推进信息资源的整合共享，让海量的信息数据真正成为实现预防预警、精确防控的源头活水，切实解决好信息壁垒、系统繁杂、共享不够等突出问题，做到统筹规划、统一标准、协调配套，努力打造以科技信息化为牵引的社会治安防控体系升级版。</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东莞市公安局发出《关于下发“十三五”规划期间视频监控建设任务的通知》，部署分配了各分局“十三五”期间视频监控建设任务。石排公安分局根据自身的实际情况完成一类高清视频点建设及联网任务，二类高清视频点（含村社区视频）建设及联网任务，并实现与市局“两网双平台”互联互通。同时还应完成治安卡口建设及联网任务，目前市局正在重新规划全市卡口建设，届时将要求各分局按照市局规划进行卡口布点、迁移、升级改造和数据整合，石排公安分局需要应根据本单位自身实战尤其是结合治安卡口点工作需要适当增加建设一类卡口点，同时做好一类卡口点的联网、简易式卡口建设、村社区及社会停车场卡口联网工作。</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石排公安分局借助视频监控系统精准定位、精确打击的强大威力，在打击犯罪、治安防范、社会管理、服务民生等方面的能力和水平发生了质的飞跃。但是，治安监控系统建设任务仍然任重道远，离国家、省、市等政策规范要求还有相当距离。</w:t>
      </w:r>
    </w:p>
    <w:p>
      <w:pPr>
        <w:rPr>
          <w:rFonts w:ascii="宋体" w:hAnsi="宋体" w:eastAsia="宋体" w:cs="宋体"/>
          <w:b/>
          <w:bCs/>
          <w:color w:val="auto"/>
          <w:sz w:val="28"/>
          <w:szCs w:val="28"/>
        </w:rPr>
      </w:pPr>
      <w:bookmarkStart w:id="12" w:name="_Toc270606120"/>
      <w:bookmarkStart w:id="13" w:name="_Toc266313271"/>
      <w:bookmarkStart w:id="14" w:name="_Toc320283857"/>
      <w:bookmarkStart w:id="15" w:name="_Toc270876612"/>
      <w:bookmarkStart w:id="16" w:name="_Toc270753047"/>
      <w:bookmarkStart w:id="17" w:name="_Toc347132501"/>
      <w:bookmarkStart w:id="18" w:name="_Toc270606278"/>
      <w:bookmarkStart w:id="19" w:name="_Toc298484587"/>
      <w:bookmarkStart w:id="20" w:name="_Toc270849383"/>
      <w:bookmarkStart w:id="21" w:name="_Toc1028"/>
      <w:bookmarkStart w:id="22" w:name="_Toc424425319"/>
      <w:bookmarkStart w:id="23" w:name="_Toc321914937"/>
      <w:bookmarkStart w:id="24" w:name="_Toc363217853"/>
      <w:bookmarkStart w:id="25" w:name="_Toc424589220"/>
      <w:bookmarkStart w:id="26" w:name="_Toc174883727"/>
      <w:bookmarkStart w:id="27" w:name="_Toc206559447"/>
      <w:bookmarkStart w:id="28" w:name="_Toc204080127"/>
      <w:bookmarkStart w:id="29" w:name="_Toc227740735"/>
      <w:bookmarkStart w:id="30" w:name="_Toc172643099"/>
      <w:bookmarkStart w:id="31" w:name="_Toc225828887"/>
      <w:bookmarkStart w:id="32" w:name="_Toc206559360"/>
      <w:bookmarkStart w:id="33" w:name="_Toc172643272"/>
      <w:bookmarkStart w:id="34" w:name="_Toc265584779"/>
      <w:bookmarkStart w:id="35" w:name="_Toc265413257"/>
      <w:bookmarkStart w:id="36" w:name="_Toc206496244"/>
      <w:bookmarkStart w:id="37" w:name="_Toc172642135"/>
      <w:bookmarkStart w:id="38" w:name="_Toc265413301"/>
      <w:bookmarkStart w:id="39" w:name="_Toc172642757"/>
      <w:bookmarkStart w:id="40" w:name="_Toc172643389"/>
      <w:bookmarkStart w:id="41" w:name="_Toc174882325"/>
      <w:bookmarkStart w:id="42" w:name="_Toc174883239"/>
      <w:bookmarkStart w:id="43" w:name="_Toc172642478"/>
      <w:r>
        <w:rPr>
          <w:rFonts w:hint="eastAsia" w:ascii="宋体" w:hAnsi="宋体" w:eastAsia="宋体" w:cs="宋体"/>
          <w:b/>
          <w:bCs/>
          <w:color w:val="auto"/>
          <w:sz w:val="28"/>
          <w:szCs w:val="28"/>
        </w:rPr>
        <w:br w:type="page"/>
      </w:r>
    </w:p>
    <w:p>
      <w:pPr>
        <w:pStyle w:val="3"/>
        <w:numPr>
          <w:ilvl w:val="0"/>
          <w:numId w:val="0"/>
        </w:numPr>
        <w:tabs>
          <w:tab w:val="clear" w:pos="432"/>
        </w:tabs>
        <w:autoSpaceDE w:val="0"/>
        <w:autoSpaceDN w:val="0"/>
        <w:spacing w:before="180" w:beforeLines="50" w:after="180" w:afterLines="50"/>
        <w:jc w:val="left"/>
        <w:textAlignment w:val="baseline"/>
        <w:rPr>
          <w:rFonts w:ascii="宋体" w:hAnsi="宋体" w:eastAsia="宋体" w:cs="宋体"/>
          <w:b/>
          <w:bCs/>
          <w:color w:val="auto"/>
          <w:sz w:val="28"/>
          <w:szCs w:val="28"/>
        </w:rPr>
      </w:pPr>
      <w:r>
        <w:rPr>
          <w:rFonts w:hint="eastAsia" w:ascii="宋体" w:hAnsi="宋体" w:eastAsia="宋体" w:cs="宋体"/>
          <w:b/>
          <w:bCs/>
          <w:color w:val="auto"/>
          <w:sz w:val="28"/>
          <w:szCs w:val="28"/>
        </w:rPr>
        <w:t>2、项目</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Start w:id="44" w:name="_Toc320283859"/>
      <w:bookmarkStart w:id="45" w:name="_Toc321914938"/>
      <w:r>
        <w:rPr>
          <w:rFonts w:hint="eastAsia" w:ascii="宋体" w:hAnsi="宋体" w:eastAsia="宋体" w:cs="宋体"/>
          <w:b/>
          <w:bCs/>
          <w:color w:val="auto"/>
          <w:sz w:val="28"/>
          <w:szCs w:val="28"/>
        </w:rPr>
        <w:t>建设内容</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石排公安分局村级视频联网及智能感知系统项目建设规模基本情况如下：</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石排公安分局辖区内</w:t>
      </w:r>
      <w:r>
        <w:rPr>
          <w:rFonts w:hint="eastAsia" w:ascii="宋体" w:hAnsi="宋体" w:eastAsia="宋体" w:cs="宋体"/>
          <w:color w:val="auto"/>
          <w:sz w:val="21"/>
          <w:szCs w:val="21"/>
          <w:u w:val="single"/>
        </w:rPr>
        <w:t>18</w:t>
      </w:r>
      <w:r>
        <w:rPr>
          <w:rFonts w:hint="eastAsia" w:ascii="宋体" w:hAnsi="宋体" w:eastAsia="宋体" w:cs="宋体"/>
          <w:color w:val="auto"/>
          <w:sz w:val="21"/>
          <w:szCs w:val="21"/>
        </w:rPr>
        <w:t>个村社区及石排人民医院高清视频监控系统联网接入到分局管理平台；</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在前期建设的4个治安卡口立杆增加200万高清网络智能球机</w:t>
      </w:r>
      <w:r>
        <w:rPr>
          <w:rFonts w:hint="eastAsia" w:ascii="宋体" w:hAnsi="宋体" w:eastAsia="宋体" w:cs="宋体"/>
          <w:color w:val="auto"/>
          <w:sz w:val="21"/>
          <w:szCs w:val="21"/>
          <w:u w:val="single"/>
        </w:rPr>
        <w:t>8</w:t>
      </w:r>
      <w:r>
        <w:rPr>
          <w:rFonts w:hint="eastAsia" w:ascii="宋体" w:hAnsi="宋体" w:eastAsia="宋体" w:cs="宋体"/>
          <w:color w:val="auto"/>
          <w:sz w:val="21"/>
          <w:szCs w:val="21"/>
        </w:rPr>
        <w:t>台；</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新增</w:t>
      </w:r>
      <w:r>
        <w:rPr>
          <w:rFonts w:hint="eastAsia" w:ascii="宋体" w:hAnsi="宋体" w:eastAsia="宋体" w:cs="宋体"/>
          <w:b/>
          <w:color w:val="auto"/>
          <w:sz w:val="21"/>
          <w:szCs w:val="21"/>
          <w:u w:val="single"/>
        </w:rPr>
        <w:t>48</w:t>
      </w:r>
      <w:r>
        <w:rPr>
          <w:rFonts w:hint="eastAsia" w:ascii="宋体" w:hAnsi="宋体" w:eastAsia="宋体" w:cs="宋体"/>
          <w:color w:val="auto"/>
          <w:sz w:val="21"/>
          <w:szCs w:val="21"/>
        </w:rPr>
        <w:t>路简易高清卡口，卡口设备采用智慧监控单元对实时视频、过车图片和车牌信息 进行采集，智慧监控单元采用200万像素高清抓拍机，在监控视频的同时获取车牌数据（含新增新能源车牌）；</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在监控中心部署磁盘阵列对东莞市石排镇二期高清视频监控系统项目新建点位视频和图片进行接入存储，视频存储时间30天，图片存储时间180天；</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对原有的双网双平台进行免费升级及进行平台扩容授权，本次项目需要新增平台授权扩容2000路；充分利用原有服务器并配套增加7台服务器，包括4台双路应用服务器，1台大卡口接入服务器、2台流媒体服务器；</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对分局原有视频专网网络设备升级换代，调整分局原有的核心交换机，升级换代为万兆核心交换机双机并行使用。辖区内派出所及交警大队视频专网核心交换机替换为支持万兆光纤模块的万兆汇聚交换机。</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新增社会视频资源配备接入防火墙1台，实现社会面视频资源安全接入；</w:t>
      </w:r>
    </w:p>
    <w:p>
      <w:pPr>
        <w:pStyle w:val="3"/>
        <w:numPr>
          <w:ilvl w:val="0"/>
          <w:numId w:val="0"/>
        </w:numPr>
        <w:tabs>
          <w:tab w:val="clear" w:pos="432"/>
        </w:tabs>
        <w:autoSpaceDE w:val="0"/>
        <w:autoSpaceDN w:val="0"/>
        <w:spacing w:before="180" w:beforeLines="50" w:after="180" w:afterLines="50"/>
        <w:jc w:val="left"/>
        <w:textAlignment w:val="baseline"/>
        <w:rPr>
          <w:rFonts w:ascii="宋体" w:hAnsi="宋体" w:eastAsia="宋体" w:cs="宋体"/>
          <w:b/>
          <w:bCs/>
          <w:color w:val="auto"/>
          <w:sz w:val="28"/>
          <w:szCs w:val="28"/>
        </w:rPr>
      </w:pPr>
      <w:bookmarkStart w:id="46" w:name="_Toc24432561"/>
      <w:bookmarkStart w:id="47" w:name="_Toc529451548"/>
      <w:bookmarkStart w:id="48" w:name="_Toc13472296"/>
      <w:r>
        <w:rPr>
          <w:rFonts w:hint="eastAsia" w:ascii="宋体" w:hAnsi="宋体" w:eastAsia="宋体" w:cs="宋体"/>
          <w:b/>
          <w:bCs/>
          <w:color w:val="auto"/>
          <w:sz w:val="28"/>
          <w:szCs w:val="28"/>
        </w:rPr>
        <w:t>3、项目建设依据</w:t>
      </w:r>
      <w:bookmarkEnd w:id="46"/>
      <w:bookmarkEnd w:id="47"/>
      <w:bookmarkEnd w:id="48"/>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本次工程项目的设计，依据以下标准和规范的要求：</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《安全防范视频监控联网系统信息传输、交换、控制技术要求》（GB/T 28181-2016）</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《广东省公共安全视频监控系统建设“十三五”规划》</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《广东省安全技术防范管理实施办法》</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《关于下发“十三五”规划期间视频监控建设任务的通知》（东莞市公安局）</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《东莞市高清视频监控系统建设指引》（东莞市公安局）</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《关于进一步加强公安机关视频图像信息应用工作的意见》（公通字〔2015〕4号</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《公安信息化建设“十三五”重点任务考虑》（公装财传发〔2014〕192号）</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《关于加强公共安全视频监控建设联网应用工作的若干意见》（发改高技〔2015〕996号）</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《关于加强社会治安防控体系建设的意见》（中共中央办公厅、国务院办公厅2015年4月13日印发）</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《全国公安机关视频图像信息整合与共享工作任务书》（公科信〔2012〕11号）</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《关于深入开展城市报警与监控系统应用工作的意见》（公科信〔2010〕30号）</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《公安信息通信网边界接入平台安全规范（试行）》（公信通〔2007〕191号）</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《关于公安信息通信网边界接入平台建设有关问题的通知》（公信通传发〔2008〕296号）</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《公安信息通信网边界接入平台安全规范（试行）—视频接入部分》（公科信〔2011〕5号）</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《城市监控报警联网系统技术标准》（GA/T 669-2008）</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《公安视频图像信息联网与应用标准体系表》（GA/Z 1164-2014）</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《信息安全技术信息系统通用安全技术要求》（GB/T 20271-2006）</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《安防监控视频实时智能分析设备技术要求》（GB/T 30147-2013）</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《全国公安机关图像信息联网总体技术方案》（公科信〔2012〕73号）</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《公安信息通信网边界接入平台安全规范（试行）—视频接入部分》（公科信〔2011〕5号）</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《视频安防监控系统技术要求》（GA/T 367-2001）</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《安全防范工程技术规范》（GB 50348-2004）</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《安全防范工程程序与要求》（GA/T 75-1994）</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《安全防范系统验收规则》（GA 308-2001）</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《电子计算机机房设计规范》（GB50174）</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《电子计算机机房施工及验收规范》（SJ/T30003）</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《电气装置安装工程工程施工及验收规范》（GB 50169－2006）</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《安全防范系统雷电浪涌防护技术要求》（GA/T 670-2006）</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《计算机信息系统安全》（GA 216.1－1999）</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《信息技术设备的安全》GB4943-2001</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《广东省社会治安视频监控系统建设指引》（粤公通字〔2005〕310号）</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《广东省社会治安视频监控系统数据传输技术规范》（粤公通字〔2005〕310号）</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《广东省社会治安视频监控系统监控中心平台建设规范》（粤公通字〔2007〕139号）</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《公共安全视频监控联网信息安全技术要求》（GB 35114-2017）</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《安全防范工程程序与要求》（GA/T75-94）；</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《视频安防系统技术要求》（GB/T367-2001）；</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《彩色电视图像质量主观评价方法》（GB50198-94）；</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《民用闭路电视监控系统工程技术规范》（GB50198-94）；</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《计算站场安全要求》（GB9361-1998）；</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《电子计算机机房施工及验收规范》（SJ/T30003-93）；</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 xml:space="preserve">《邮电通信网光纤数据传输系统工程施工及验收暂行技术规范》 </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 xml:space="preserve">《智能建筑设计标准》（GB/T50314-2000）； </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《系统接地的形式及安全技术要求》（YD14050-93）；</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《建筑物防雷设计规范》（GB50057-94）；</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《中华人民共和国道路交通安全法》；</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《中华人民共和国道路交通安全法实施条例》；</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《公路交通安全实施设计技术规范》 (JTJ074-2003)；</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《公路车辆智能监测记录系统通用技术条件》（GA/T497-2016）；</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《机动车测速仪》（GB/T21255-2007）；</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《道路交通安全违法行为图像取证技术规范》（GA/T 832-2014）；</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《道路交通安全违法行为视频取证设备技术规范》（GA/T995-2012）；</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《交通技术监控成像补光装置通用技术条件》（GA/T1202-2014）；</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《机动车号牌图像自动识别技术规范》（GA/T833-2016）；</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《公安交通指挥系统工程建设通用程序和要求》（GA/T651-2006）；</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《公安交通管理外场设备基础施工通用要求》（GA/T652-2006）；</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《公安交通指挥系统工程设计制图规范》（GA/T515-2004）；</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《邮电通信网光纤数据传输系统工程施工及验收技术规范》；</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《中华人民共和国通信行业标准》（YD/T926）；</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《电气指标标准》ELA-422  ELA-485 ；</w:t>
      </w:r>
    </w:p>
    <w:p>
      <w:pPr>
        <w:numPr>
          <w:ilvl w:val="0"/>
          <w:numId w:val="2"/>
        </w:numPr>
        <w:spacing w:after="0"/>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《电子设备雷击保护导则》GB7450-87；</w:t>
      </w:r>
    </w:p>
    <w:p>
      <w:pPr>
        <w:pStyle w:val="3"/>
        <w:numPr>
          <w:ilvl w:val="0"/>
          <w:numId w:val="0"/>
        </w:numPr>
        <w:tabs>
          <w:tab w:val="clear" w:pos="432"/>
        </w:tabs>
        <w:autoSpaceDE w:val="0"/>
        <w:autoSpaceDN w:val="0"/>
        <w:spacing w:before="180" w:beforeLines="50" w:after="180" w:afterLines="50"/>
        <w:jc w:val="left"/>
        <w:textAlignment w:val="baseline"/>
        <w:rPr>
          <w:rFonts w:ascii="宋体" w:hAnsi="宋体" w:eastAsia="宋体" w:cs="宋体"/>
          <w:b/>
          <w:bCs/>
          <w:color w:val="auto"/>
          <w:sz w:val="28"/>
          <w:szCs w:val="28"/>
        </w:rPr>
      </w:pPr>
      <w:bookmarkStart w:id="49" w:name="_Toc24432586"/>
      <w:bookmarkStart w:id="50" w:name="_Toc528943264"/>
      <w:bookmarkStart w:id="51" w:name="_Toc13472297"/>
      <w:r>
        <w:rPr>
          <w:rFonts w:hint="eastAsia" w:ascii="宋体" w:hAnsi="宋体" w:eastAsia="宋体" w:cs="宋体"/>
          <w:b/>
          <w:bCs/>
          <w:color w:val="auto"/>
          <w:sz w:val="28"/>
          <w:szCs w:val="28"/>
        </w:rPr>
        <w:t>4、项目建设原则</w:t>
      </w:r>
      <w:bookmarkEnd w:id="49"/>
      <w:bookmarkEnd w:id="50"/>
      <w:bookmarkEnd w:id="51"/>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本次项目设计应符合以下原则要求：</w:t>
      </w:r>
    </w:p>
    <w:p>
      <w:pPr>
        <w:spacing w:before="72" w:beforeLines="20" w:after="72" w:afterLines="20"/>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rPr>
        <w:tab/>
      </w:r>
      <w:r>
        <w:rPr>
          <w:rFonts w:hint="eastAsia" w:ascii="宋体" w:hAnsi="宋体" w:eastAsia="宋体" w:cs="宋体"/>
          <w:b/>
          <w:bCs/>
          <w:color w:val="auto"/>
          <w:sz w:val="21"/>
          <w:szCs w:val="21"/>
        </w:rPr>
        <w:t>先进性</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系统架构设计、技术运用、设备选型等方面充分考虑业内前瞻性的模式，避免投入即陷入技术落后的现象，选用先进、成熟、主流的技术搭建可升级、可扩展、可兼容的应用系统，符合当前业务及未来发展的需求。</w:t>
      </w:r>
    </w:p>
    <w:p>
      <w:pPr>
        <w:spacing w:before="72" w:beforeLines="20" w:after="72" w:afterLines="20"/>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2)</w:t>
      </w:r>
      <w:r>
        <w:rPr>
          <w:rFonts w:hint="eastAsia" w:ascii="宋体" w:hAnsi="宋体" w:eastAsia="宋体" w:cs="宋体"/>
          <w:b/>
          <w:bCs/>
          <w:color w:val="auto"/>
          <w:sz w:val="21"/>
          <w:szCs w:val="21"/>
        </w:rPr>
        <w:tab/>
      </w:r>
      <w:r>
        <w:rPr>
          <w:rFonts w:hint="eastAsia" w:ascii="宋体" w:hAnsi="宋体" w:eastAsia="宋体" w:cs="宋体"/>
          <w:b/>
          <w:bCs/>
          <w:color w:val="auto"/>
          <w:sz w:val="21"/>
          <w:szCs w:val="21"/>
        </w:rPr>
        <w:t>系统兼容性</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对已建设区域的报警与监控系统进行最大程度的兼容整合，实现与新建平台的对接，从而充分利用现有资源，尽量保护原有投资。</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为保证未来对全市范围内所有社会单位监控系统非公共部分（重点要害部门、学校、医院、娱乐场所、车站、码头等）的统一接入，系统具备较强的兼容性，能够接入不同厂家、不同型号、不同协议的网络视频服务器、嵌入式硬盘录像机、网络摄像机、模拟矩阵、光矩阵等多种异质设备。</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采用符合相关标准的软件、硬件通信、网络、操作系统和数据库管理系统等诸方面的接口和工具，使系统具有良好的灵活性、兼容性、扩展性和可移植性。</w:t>
      </w:r>
    </w:p>
    <w:p>
      <w:pPr>
        <w:spacing w:before="72" w:beforeLines="20" w:after="72" w:afterLines="20"/>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3)</w:t>
      </w:r>
      <w:r>
        <w:rPr>
          <w:rFonts w:hint="eastAsia" w:ascii="宋体" w:hAnsi="宋体" w:eastAsia="宋体" w:cs="宋体"/>
          <w:b/>
          <w:bCs/>
          <w:color w:val="auto"/>
          <w:sz w:val="21"/>
          <w:szCs w:val="21"/>
        </w:rPr>
        <w:tab/>
      </w:r>
      <w:r>
        <w:rPr>
          <w:rFonts w:hint="eastAsia" w:ascii="宋体" w:hAnsi="宋体" w:eastAsia="宋体" w:cs="宋体"/>
          <w:b/>
          <w:bCs/>
          <w:color w:val="auto"/>
          <w:sz w:val="21"/>
          <w:szCs w:val="21"/>
        </w:rPr>
        <w:t>系统稳定性</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系统的不稳定因素要从硬件、软件系统协同运行中给予充分的防止。如有发生也应做到可及时地恢复。在硬件基础设施上选用高性能成熟稳定、可靠的硬件设备，并考虑冗余设计，平台设计运用成熟的技术和模块化、组件化的设计方法，适应大容量、高并发的应用要求。</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系统采用的软、硬件产品都为经过各种质量认证的品牌产品，尤其是公安部检测通过的，并且这些产品设备在国内外的实际应用中被证明非常可靠稳定，为本系统的可靠运行提供保证；对于级联网所用的设备，必须具备统一接口标准，以降低级联网成本和增加可靠性。</w:t>
      </w:r>
    </w:p>
    <w:p>
      <w:pPr>
        <w:spacing w:before="72" w:beforeLines="20" w:after="72" w:afterLines="20"/>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4)</w:t>
      </w:r>
      <w:r>
        <w:rPr>
          <w:rFonts w:hint="eastAsia" w:ascii="宋体" w:hAnsi="宋体" w:eastAsia="宋体" w:cs="宋体"/>
          <w:b/>
          <w:bCs/>
          <w:color w:val="auto"/>
          <w:sz w:val="21"/>
          <w:szCs w:val="21"/>
        </w:rPr>
        <w:tab/>
      </w:r>
      <w:r>
        <w:rPr>
          <w:rFonts w:hint="eastAsia" w:ascii="宋体" w:hAnsi="宋体" w:eastAsia="宋体" w:cs="宋体"/>
          <w:b/>
          <w:bCs/>
          <w:color w:val="auto"/>
          <w:sz w:val="21"/>
          <w:szCs w:val="21"/>
        </w:rPr>
        <w:t>扩展性</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系统应采用模块化设计，以适应系统规模扩展、功能扩充、配套软件升级等的需求。系统的建设在符合国家和行业相关标准要求的基础上，采用业界主流的软硬件平台、操作系统平台、数据库平台以及标准的协议，保证系统的扩展性。</w:t>
      </w:r>
    </w:p>
    <w:p>
      <w:pPr>
        <w:spacing w:before="72" w:beforeLines="20" w:after="72" w:afterLines="20"/>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5)</w:t>
      </w:r>
      <w:r>
        <w:rPr>
          <w:rFonts w:hint="eastAsia" w:ascii="宋体" w:hAnsi="宋体" w:eastAsia="宋体" w:cs="宋体"/>
          <w:b/>
          <w:bCs/>
          <w:color w:val="auto"/>
          <w:sz w:val="21"/>
          <w:szCs w:val="21"/>
        </w:rPr>
        <w:tab/>
      </w:r>
      <w:r>
        <w:rPr>
          <w:rFonts w:hint="eastAsia" w:ascii="宋体" w:hAnsi="宋体" w:eastAsia="宋体" w:cs="宋体"/>
          <w:b/>
          <w:bCs/>
          <w:color w:val="auto"/>
          <w:sz w:val="21"/>
          <w:szCs w:val="21"/>
        </w:rPr>
        <w:t>可靠性</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系统应采用成熟的技术和设备，关键设备、关键数据、关键程序模块应有备份或冗余措施，有较强的容错和系统恢复能力，能够保证系统长期正常运行。对系统整体性能有影响的关键设备宜支持集群、负载均衡或热备能力。</w:t>
      </w:r>
    </w:p>
    <w:p>
      <w:pPr>
        <w:spacing w:before="72" w:beforeLines="20" w:after="72" w:afterLines="20"/>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6)</w:t>
      </w:r>
      <w:r>
        <w:rPr>
          <w:rFonts w:hint="eastAsia" w:ascii="宋体" w:hAnsi="宋体" w:eastAsia="宋体" w:cs="宋体"/>
          <w:b/>
          <w:bCs/>
          <w:color w:val="auto"/>
          <w:sz w:val="21"/>
          <w:szCs w:val="21"/>
        </w:rPr>
        <w:tab/>
      </w:r>
      <w:r>
        <w:rPr>
          <w:rFonts w:hint="eastAsia" w:ascii="宋体" w:hAnsi="宋体" w:eastAsia="宋体" w:cs="宋体"/>
          <w:b/>
          <w:bCs/>
          <w:color w:val="auto"/>
          <w:sz w:val="21"/>
          <w:szCs w:val="21"/>
        </w:rPr>
        <w:t>规范性</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系统的接口协议、视音频信号编解码、视音频文件格式等，应符合相关国家标准、行业标准的规定。</w:t>
      </w:r>
    </w:p>
    <w:p>
      <w:pPr>
        <w:spacing w:before="72" w:beforeLines="20" w:after="72" w:afterLines="20"/>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7)</w:t>
      </w:r>
      <w:r>
        <w:rPr>
          <w:rFonts w:hint="eastAsia" w:ascii="宋体" w:hAnsi="宋体" w:eastAsia="宋体" w:cs="宋体"/>
          <w:b/>
          <w:bCs/>
          <w:color w:val="auto"/>
          <w:sz w:val="21"/>
          <w:szCs w:val="21"/>
        </w:rPr>
        <w:tab/>
      </w:r>
      <w:r>
        <w:rPr>
          <w:rFonts w:hint="eastAsia" w:ascii="宋体" w:hAnsi="宋体" w:eastAsia="宋体" w:cs="宋体"/>
          <w:b/>
          <w:bCs/>
          <w:color w:val="auto"/>
          <w:sz w:val="21"/>
          <w:szCs w:val="21"/>
        </w:rPr>
        <w:t>安全性</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系统应采取有效的安全保障措施，防止系统被非法接入、非法攻击和病毒感染；接入的设备和用户终端，都需要进行必要的接入认证，以保证接入的安全性；应采取适当的措施保证信息传输过程中的保密性和真实性；系统应具有防雷击、过载、断电、电磁干扰和人为破坏等综合安全防护措施。</w:t>
      </w:r>
    </w:p>
    <w:p>
      <w:pPr>
        <w:spacing w:before="72" w:beforeLines="20" w:after="72" w:afterLines="20"/>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8)</w:t>
      </w:r>
      <w:r>
        <w:rPr>
          <w:rFonts w:hint="eastAsia" w:ascii="宋体" w:hAnsi="宋体" w:eastAsia="宋体" w:cs="宋体"/>
          <w:b/>
          <w:bCs/>
          <w:color w:val="auto"/>
          <w:sz w:val="21"/>
          <w:szCs w:val="21"/>
        </w:rPr>
        <w:tab/>
      </w:r>
      <w:r>
        <w:rPr>
          <w:rFonts w:hint="eastAsia" w:ascii="宋体" w:hAnsi="宋体" w:eastAsia="宋体" w:cs="宋体"/>
          <w:b/>
          <w:bCs/>
          <w:color w:val="auto"/>
          <w:sz w:val="21"/>
          <w:szCs w:val="21"/>
        </w:rPr>
        <w:t>易维护性</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系统应具备自检、故障诊断及故障弱化等功能，在出现故障时，应能快速确定故障点，并及时恢复。系统内的设备、网络、用户、性能和安全等应便于管理和配置。</w:t>
      </w:r>
    </w:p>
    <w:p>
      <w:pPr>
        <w:spacing w:before="72" w:beforeLines="20" w:after="72" w:afterLines="20"/>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9)</w:t>
      </w:r>
      <w:r>
        <w:rPr>
          <w:rFonts w:hint="eastAsia" w:ascii="宋体" w:hAnsi="宋体" w:eastAsia="宋体" w:cs="宋体"/>
          <w:b/>
          <w:bCs/>
          <w:color w:val="auto"/>
          <w:sz w:val="21"/>
          <w:szCs w:val="21"/>
        </w:rPr>
        <w:tab/>
      </w:r>
      <w:r>
        <w:rPr>
          <w:rFonts w:hint="eastAsia" w:ascii="宋体" w:hAnsi="宋体" w:eastAsia="宋体" w:cs="宋体"/>
          <w:b/>
          <w:bCs/>
          <w:color w:val="auto"/>
          <w:sz w:val="21"/>
          <w:szCs w:val="21"/>
        </w:rPr>
        <w:t>易操作性</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系统应提供清晰、简洁、友好的中文人机交互界面，操作应简便、灵活、易学易用，便于管理和维护。</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此外，根据石排镇实际建设需求，本次项目建设还提出了以下原则：</w:t>
      </w:r>
    </w:p>
    <w:p>
      <w:pPr>
        <w:spacing w:before="72" w:beforeLines="20" w:after="72" w:afterLines="20"/>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10） 利旧原则</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次方案设计遵循利旧原则，本次建设在一期建设的基础上进行，保留原有一期的前端摄像机、杆体、后端存储、解码显示系统、平台服务器等硬件设备，管理平台也使用一期平台，仅进行免费升级和平台授权扩容。</w:t>
      </w:r>
    </w:p>
    <w:p>
      <w:pPr>
        <w:spacing w:before="72" w:beforeLines="20" w:after="72" w:afterLines="20"/>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11）两期无缝对接原则</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本次建设内容能够和一期无缝对接，通过对一期管理平台的免费升级及平台授权扩容，能够实现新增一类监控点、简易卡口、村社区二类监控点建设的所有设备的接入管理。</w:t>
      </w:r>
    </w:p>
    <w:p>
      <w:pPr>
        <w:spacing w:before="72" w:beforeLines="20" w:after="72" w:afterLines="20"/>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12）完全开放原则</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为方便分局日后更多实战的应用资源整合，本次项目建设的视频、卡口过车数据等资源能够开放相关接口，以供后期开展相关业务应用</w:t>
      </w:r>
    </w:p>
    <w:p>
      <w:pPr>
        <w:pStyle w:val="3"/>
        <w:numPr>
          <w:ilvl w:val="0"/>
          <w:numId w:val="0"/>
        </w:numPr>
        <w:tabs>
          <w:tab w:val="clear" w:pos="432"/>
        </w:tabs>
        <w:autoSpaceDE w:val="0"/>
        <w:autoSpaceDN w:val="0"/>
        <w:spacing w:before="180" w:beforeLines="50" w:after="180" w:afterLines="50"/>
        <w:jc w:val="left"/>
        <w:textAlignment w:val="baseline"/>
        <w:rPr>
          <w:rFonts w:ascii="宋体" w:hAnsi="宋体" w:eastAsia="宋体" w:cs="宋体"/>
          <w:b/>
          <w:bCs/>
          <w:color w:val="auto"/>
          <w:sz w:val="28"/>
          <w:szCs w:val="28"/>
        </w:rPr>
      </w:pPr>
      <w:r>
        <w:rPr>
          <w:rFonts w:hint="eastAsia" w:ascii="宋体" w:hAnsi="宋体" w:eastAsia="宋体" w:cs="宋体"/>
          <w:b/>
          <w:bCs/>
          <w:color w:val="auto"/>
          <w:sz w:val="28"/>
          <w:szCs w:val="28"/>
        </w:rPr>
        <w:t>5、项目建设目标</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石排镇镇村级二类视频监控系统项目工程是为满足村级治安防控和社会管理需要，利用网络把各视频监控点图像上传至石排公安分局监控中心，通过视频技术获取影像资料，通过增设村级二类视频监控点，形成村社区治安闭环，近而实现全域封控,完成实战“最后一公里”，构筑“瓮中捉鳖”的防范体系。提升社会治安防控、打击犯罪、反恐处突等方面的能力。石排镇村级二类视频监控系统项目主要涉及前端高清监控的建设、网络传输建设、村社区中心存储建设、村委分控中心建设等。</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项目建成后将实现监控网络和监控内容的广度覆盖，监控网络全面覆盖重点地区，监控内容满足重点区域公安业务的需求；实现公安业务与社会防控的有效链接；实现监控信息反馈的快速反应，确保信息的快速、高效和安全流动。</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同时，本项目的建设将实现对街巷的人流监控管控，弥补现阶段石排的村社区治安队伍人员老化、专业素质不足等问题，建立防范为主要原则、打击为主要手段、挤压犯罪空间为主要目的的防控体系。进而震慑违法犯罪，降低违法犯罪案件发案率，提升群众安全感和公共安全满意度。</w:t>
      </w:r>
    </w:p>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石排公安分局村级视频联网及智能感知系统项目将根据市公安局以及省厅关于“十三五”期间视频监控建设任务的部署，在石排镇高清视频监控系统一期建设项目的基础上，进一步增加视频监控点、简易卡口的建设，完成石排公安分局辖区内村级二类监控视频点联网、简易卡口等建设任务；同时根据《东莞市公安局视频专网升级方案》文件精神，对原有分局核心交换机进行万兆升级，提升视频监控管理和应用的高效便捷性，进一步提升石排镇社会治安综合治理水平。</w:t>
      </w:r>
    </w:p>
    <w:p>
      <w:pPr>
        <w:spacing w:after="0"/>
        <w:rPr>
          <w:rFonts w:ascii="宋体" w:hAnsi="宋体" w:eastAsia="宋体" w:cs="宋体"/>
          <w:color w:val="auto"/>
          <w:sz w:val="21"/>
          <w:szCs w:val="21"/>
        </w:rPr>
      </w:pPr>
    </w:p>
    <w:p>
      <w:pPr>
        <w:pStyle w:val="3"/>
        <w:numPr>
          <w:ilvl w:val="0"/>
          <w:numId w:val="0"/>
        </w:numPr>
        <w:tabs>
          <w:tab w:val="clear" w:pos="432"/>
        </w:tabs>
        <w:autoSpaceDE w:val="0"/>
        <w:autoSpaceDN w:val="0"/>
        <w:spacing w:before="180" w:beforeLines="50" w:after="180" w:afterLines="50"/>
        <w:jc w:val="left"/>
        <w:textAlignment w:val="baseline"/>
        <w:rPr>
          <w:rFonts w:ascii="宋体" w:hAnsi="宋体" w:eastAsia="宋体" w:cs="宋体"/>
          <w:b/>
          <w:bCs/>
          <w:color w:val="auto"/>
          <w:sz w:val="28"/>
          <w:szCs w:val="28"/>
        </w:rPr>
      </w:pPr>
      <w:r>
        <w:rPr>
          <w:rFonts w:hint="eastAsia" w:ascii="宋体" w:hAnsi="宋体" w:eastAsia="宋体" w:cs="宋体"/>
          <w:b/>
          <w:bCs/>
          <w:color w:val="auto"/>
          <w:sz w:val="28"/>
          <w:szCs w:val="28"/>
        </w:rPr>
        <w:t>6、其他要求</w:t>
      </w:r>
    </w:p>
    <w:p>
      <w:pPr>
        <w:autoSpaceDE w:val="0"/>
        <w:autoSpaceDN w:val="0"/>
        <w:spacing w:after="0"/>
        <w:ind w:firstLine="420" w:firstLineChars="200"/>
        <w:textAlignment w:val="baseline"/>
        <w:rPr>
          <w:rFonts w:ascii="宋体" w:hAnsi="宋体" w:eastAsia="宋体" w:cs="宋体"/>
          <w:color w:val="auto"/>
          <w:sz w:val="21"/>
          <w:szCs w:val="21"/>
        </w:rPr>
      </w:pPr>
      <w:r>
        <w:rPr>
          <w:rFonts w:hint="eastAsia" w:ascii="宋体" w:hAnsi="宋体" w:eastAsia="宋体" w:cs="宋体"/>
          <w:color w:val="auto"/>
          <w:sz w:val="21"/>
          <w:szCs w:val="21"/>
        </w:rPr>
        <w:t>★1、投标人须承诺如果采购人对中标人的响应情况存在疑问的，在签订合同前，用户有权要求中标人到用户单位进行实际环境测试。测试内容为采购人对中标人所投产品有疑问的响应技术指标，测试范围为投标人对招标文件用户需求的响应条款。测试工作由采购人组织，地点设在使用单位，产品测试在采购人的业务应用环境中进行，可以邀请独立第三方、专家或公证处进行监督。在采购人提出质疑起3个工作日内无法通过测试的，视为虚假应标，视为自动放弃中标并由相关主管部门进行处罚。（提供承诺函）</w:t>
      </w:r>
    </w:p>
    <w:p>
      <w:pPr>
        <w:autoSpaceDE w:val="0"/>
        <w:autoSpaceDN w:val="0"/>
        <w:spacing w:after="0"/>
        <w:ind w:firstLine="420" w:firstLineChars="200"/>
        <w:textAlignment w:val="baseline"/>
        <w:rPr>
          <w:rFonts w:ascii="宋体" w:hAnsi="宋体" w:eastAsia="宋体" w:cs="宋体"/>
          <w:color w:val="auto"/>
          <w:sz w:val="21"/>
          <w:szCs w:val="21"/>
        </w:rPr>
      </w:pPr>
      <w:r>
        <w:rPr>
          <w:rFonts w:hint="eastAsia" w:ascii="宋体" w:hAnsi="宋体" w:eastAsia="宋体" w:cs="宋体"/>
          <w:color w:val="auto"/>
          <w:sz w:val="21"/>
          <w:szCs w:val="21"/>
        </w:rPr>
        <w:t>★2、项目有部分路段需要破路顶管，需破路顶管的地方如需要与相应的主管单位协调，由中标单位自行找相关主管单位协调解决。（提供承诺函）</w:t>
      </w:r>
    </w:p>
    <w:p>
      <w:pPr>
        <w:autoSpaceDE w:val="0"/>
        <w:autoSpaceDN w:val="0"/>
        <w:spacing w:after="0"/>
        <w:ind w:firstLine="420" w:firstLineChars="200"/>
        <w:textAlignment w:val="baseline"/>
        <w:rPr>
          <w:rFonts w:ascii="宋体" w:hAnsi="宋体" w:eastAsia="宋体" w:cs="宋体"/>
          <w:color w:val="auto"/>
          <w:sz w:val="21"/>
          <w:szCs w:val="21"/>
        </w:rPr>
      </w:pPr>
      <w:r>
        <w:rPr>
          <w:rFonts w:hint="eastAsia" w:ascii="宋体" w:hAnsi="宋体" w:eastAsia="宋体" w:cs="宋体"/>
          <w:color w:val="auto"/>
          <w:sz w:val="21"/>
          <w:szCs w:val="21"/>
        </w:rPr>
        <w:t>★3、项目有部分摄像机安装在原一期立杆上，一期项目为租赁项目，租赁期还没到。中标单位需自行找一期承建单位协调解决使用中间设备、光纤路由、电费等问题。（提供承诺函）</w:t>
      </w:r>
    </w:p>
    <w:p>
      <w:pPr>
        <w:autoSpaceDE w:val="0"/>
        <w:autoSpaceDN w:val="0"/>
        <w:spacing w:after="0"/>
        <w:ind w:firstLine="420" w:firstLineChars="200"/>
        <w:textAlignment w:val="baseline"/>
        <w:rPr>
          <w:rFonts w:ascii="宋体" w:hAnsi="宋体" w:eastAsia="宋体" w:cs="宋体"/>
          <w:color w:val="auto"/>
          <w:sz w:val="21"/>
          <w:szCs w:val="21"/>
        </w:rPr>
      </w:pPr>
      <w:r>
        <w:rPr>
          <w:rFonts w:hint="eastAsia" w:ascii="宋体" w:hAnsi="宋体" w:eastAsia="宋体" w:cs="宋体"/>
          <w:color w:val="auto"/>
          <w:sz w:val="21"/>
          <w:szCs w:val="21"/>
        </w:rPr>
        <w:t>★4、本项目的平台系统必须与采购方现有的平台系统兼容，所有数据可以正常传输。（提供承诺函）</w:t>
      </w:r>
    </w:p>
    <w:p>
      <w:pPr>
        <w:autoSpaceDE w:val="0"/>
        <w:autoSpaceDN w:val="0"/>
        <w:spacing w:after="0"/>
        <w:ind w:firstLine="420" w:firstLineChars="200"/>
        <w:textAlignment w:val="baseline"/>
        <w:rPr>
          <w:rFonts w:ascii="宋体" w:hAnsi="宋体" w:eastAsia="宋体" w:cs="宋体"/>
          <w:color w:val="auto"/>
          <w:sz w:val="21"/>
          <w:szCs w:val="21"/>
        </w:rPr>
      </w:pPr>
    </w:p>
    <w:p>
      <w:pPr>
        <w:autoSpaceDE w:val="0"/>
        <w:autoSpaceDN w:val="0"/>
        <w:spacing w:after="0"/>
        <w:ind w:firstLine="420" w:firstLineChars="200"/>
        <w:textAlignment w:val="baseline"/>
        <w:rPr>
          <w:rFonts w:ascii="宋体" w:hAnsi="宋体" w:eastAsia="宋体" w:cs="宋体"/>
          <w:color w:val="auto"/>
          <w:sz w:val="21"/>
          <w:szCs w:val="21"/>
        </w:rPr>
      </w:pPr>
    </w:p>
    <w:p>
      <w:pPr>
        <w:autoSpaceDE w:val="0"/>
        <w:autoSpaceDN w:val="0"/>
        <w:spacing w:after="0"/>
        <w:ind w:firstLine="420" w:firstLineChars="200"/>
        <w:textAlignment w:val="baseline"/>
        <w:rPr>
          <w:rFonts w:ascii="宋体" w:hAnsi="宋体" w:eastAsia="宋体" w:cs="宋体"/>
          <w:color w:val="auto"/>
          <w:sz w:val="21"/>
          <w:szCs w:val="21"/>
        </w:rPr>
      </w:pPr>
    </w:p>
    <w:p>
      <w:pPr>
        <w:autoSpaceDE w:val="0"/>
        <w:autoSpaceDN w:val="0"/>
        <w:spacing w:after="0"/>
        <w:ind w:firstLine="420" w:firstLineChars="200"/>
        <w:textAlignment w:val="baseline"/>
        <w:rPr>
          <w:rFonts w:ascii="宋体" w:hAnsi="宋体" w:eastAsia="宋体" w:cs="宋体"/>
          <w:color w:val="auto"/>
          <w:sz w:val="21"/>
          <w:szCs w:val="21"/>
        </w:rPr>
      </w:pPr>
    </w:p>
    <w:p>
      <w:pPr>
        <w:autoSpaceDE w:val="0"/>
        <w:autoSpaceDN w:val="0"/>
        <w:spacing w:after="0"/>
        <w:ind w:firstLine="420" w:firstLineChars="200"/>
        <w:textAlignment w:val="baseline"/>
        <w:rPr>
          <w:rFonts w:ascii="宋体" w:hAnsi="宋体" w:eastAsia="宋体" w:cs="宋体"/>
          <w:color w:val="auto"/>
          <w:sz w:val="21"/>
          <w:szCs w:val="21"/>
        </w:rPr>
      </w:pPr>
    </w:p>
    <w:p>
      <w:pPr>
        <w:autoSpaceDE w:val="0"/>
        <w:autoSpaceDN w:val="0"/>
        <w:spacing w:after="0"/>
        <w:ind w:firstLine="420" w:firstLineChars="200"/>
        <w:textAlignment w:val="baseline"/>
        <w:rPr>
          <w:rFonts w:ascii="宋体" w:hAnsi="宋体" w:eastAsia="宋体" w:cs="宋体"/>
          <w:color w:val="auto"/>
          <w:sz w:val="21"/>
          <w:szCs w:val="21"/>
        </w:rPr>
      </w:pPr>
    </w:p>
    <w:p>
      <w:pPr>
        <w:autoSpaceDE w:val="0"/>
        <w:autoSpaceDN w:val="0"/>
        <w:spacing w:after="0"/>
        <w:ind w:firstLine="420" w:firstLineChars="200"/>
        <w:textAlignment w:val="baseline"/>
        <w:rPr>
          <w:rFonts w:ascii="宋体" w:hAnsi="宋体" w:eastAsia="宋体" w:cs="宋体"/>
          <w:color w:val="auto"/>
          <w:sz w:val="21"/>
          <w:szCs w:val="21"/>
        </w:rPr>
      </w:pPr>
    </w:p>
    <w:p>
      <w:pPr>
        <w:autoSpaceDE w:val="0"/>
        <w:autoSpaceDN w:val="0"/>
        <w:spacing w:after="0"/>
        <w:ind w:firstLine="420" w:firstLineChars="200"/>
        <w:textAlignment w:val="baseline"/>
        <w:rPr>
          <w:rFonts w:ascii="宋体" w:hAnsi="宋体" w:eastAsia="宋体" w:cs="宋体"/>
          <w:color w:val="auto"/>
          <w:sz w:val="21"/>
          <w:szCs w:val="21"/>
        </w:rPr>
      </w:pPr>
    </w:p>
    <w:p>
      <w:pPr>
        <w:autoSpaceDE w:val="0"/>
        <w:autoSpaceDN w:val="0"/>
        <w:spacing w:after="0"/>
        <w:ind w:firstLine="420" w:firstLineChars="200"/>
        <w:textAlignment w:val="baseline"/>
        <w:rPr>
          <w:rFonts w:ascii="宋体" w:hAnsi="宋体" w:eastAsia="宋体" w:cs="宋体"/>
          <w:color w:val="auto"/>
          <w:sz w:val="21"/>
          <w:szCs w:val="21"/>
        </w:rPr>
      </w:pPr>
    </w:p>
    <w:p>
      <w:pPr>
        <w:pStyle w:val="3"/>
        <w:numPr>
          <w:ilvl w:val="0"/>
          <w:numId w:val="0"/>
        </w:numPr>
        <w:tabs>
          <w:tab w:val="clear" w:pos="432"/>
        </w:tabs>
        <w:autoSpaceDE w:val="0"/>
        <w:autoSpaceDN w:val="0"/>
        <w:spacing w:before="180" w:beforeLines="50" w:after="180" w:afterLines="50"/>
        <w:jc w:val="left"/>
        <w:textAlignment w:val="baseline"/>
        <w:rPr>
          <w:rFonts w:ascii="宋体" w:hAnsi="宋体" w:eastAsia="宋体" w:cs="宋体"/>
          <w:b/>
          <w:bCs/>
          <w:color w:val="auto"/>
          <w:sz w:val="28"/>
          <w:szCs w:val="28"/>
        </w:rPr>
      </w:pPr>
      <w:r>
        <w:rPr>
          <w:rFonts w:hint="eastAsia" w:ascii="宋体" w:hAnsi="宋体" w:eastAsia="宋体" w:cs="宋体"/>
          <w:b/>
          <w:bCs/>
          <w:color w:val="auto"/>
          <w:sz w:val="28"/>
          <w:szCs w:val="28"/>
        </w:rPr>
        <w:t>7、主要设备技术参数要求</w:t>
      </w:r>
    </w:p>
    <w:p>
      <w:pPr>
        <w:spacing w:before="72" w:beforeLines="20" w:after="72" w:afterLines="20"/>
        <w:ind w:firstLine="422" w:firstLineChars="200"/>
        <w:rPr>
          <w:rFonts w:ascii="宋体" w:hAnsi="宋体" w:eastAsia="宋体" w:cs="宋体"/>
          <w:b/>
          <w:color w:val="auto"/>
          <w:sz w:val="21"/>
          <w:szCs w:val="21"/>
        </w:rPr>
      </w:pPr>
      <w:r>
        <w:rPr>
          <w:rFonts w:hint="eastAsia" w:ascii="宋体" w:hAnsi="宋体" w:eastAsia="宋体" w:cs="宋体"/>
          <w:b/>
          <w:bCs/>
          <w:color w:val="auto"/>
          <w:sz w:val="21"/>
          <w:szCs w:val="21"/>
        </w:rPr>
        <w:t>7.1 200万黑光高清网络智能球机</w:t>
      </w: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6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7" w:type="pct"/>
          </w:tcPr>
          <w:p>
            <w:pPr>
              <w:spacing w:before="36" w:beforeLines="10" w:after="36" w:afterLines="10"/>
              <w:rPr>
                <w:rFonts w:ascii="宋体" w:hAnsi="宋体" w:eastAsia="宋体" w:cs="宋体"/>
                <w:b/>
                <w:bCs/>
                <w:color w:val="auto"/>
                <w:sz w:val="21"/>
                <w:szCs w:val="21"/>
              </w:rPr>
            </w:pPr>
            <w:r>
              <w:rPr>
                <w:rFonts w:hint="eastAsia" w:ascii="宋体" w:hAnsi="宋体" w:eastAsia="宋体" w:cs="宋体"/>
                <w:b/>
                <w:bCs/>
                <w:color w:val="auto"/>
                <w:sz w:val="21"/>
                <w:szCs w:val="21"/>
              </w:rPr>
              <w:t>功能指标</w:t>
            </w:r>
          </w:p>
        </w:tc>
        <w:tc>
          <w:tcPr>
            <w:tcW w:w="4062" w:type="pct"/>
          </w:tcPr>
          <w:p>
            <w:pPr>
              <w:spacing w:before="36" w:beforeLines="10" w:after="36" w:afterLines="10"/>
              <w:rPr>
                <w:rFonts w:ascii="宋体" w:hAnsi="宋体" w:eastAsia="宋体" w:cs="宋体"/>
                <w:b/>
                <w:bCs/>
                <w:color w:val="auto"/>
                <w:sz w:val="21"/>
                <w:szCs w:val="21"/>
              </w:rPr>
            </w:pPr>
            <w:r>
              <w:rPr>
                <w:rFonts w:hint="eastAsia" w:ascii="宋体" w:hAnsi="宋体" w:eastAsia="宋体" w:cs="宋体"/>
                <w:b/>
                <w:bCs/>
                <w:color w:val="auto"/>
                <w:sz w:val="21"/>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7"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分辨率</w:t>
            </w:r>
          </w:p>
        </w:tc>
        <w:tc>
          <w:tcPr>
            <w:tcW w:w="4062"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视频输出支持1920×1080@60fps，1280×720@60fps，分辨力不小于1100TVL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7"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光学变倍</w:t>
            </w:r>
          </w:p>
        </w:tc>
        <w:tc>
          <w:tcPr>
            <w:tcW w:w="4062"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支持25倍光学变倍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37"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▲双路视频融合</w:t>
            </w:r>
          </w:p>
        </w:tc>
        <w:tc>
          <w:tcPr>
            <w:tcW w:w="4062"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具备双路视频融合功能。同一镜头内具有2个Sensor传感器，一个Sensor传感器采集黑白信息，一个Sensor传感器采集色彩信息，球机对采集后的视频信息进行融合（要求在公安部或第三方检测机构出具的检验报告中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7"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红外距离</w:t>
            </w:r>
          </w:p>
        </w:tc>
        <w:tc>
          <w:tcPr>
            <w:tcW w:w="4062"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红外距离不小于850米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37"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▲低照度</w:t>
            </w:r>
          </w:p>
        </w:tc>
        <w:tc>
          <w:tcPr>
            <w:tcW w:w="4062"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支持最低照度可达彩色：0.0003Lux；黑白：0.0001Lux （要求在公安部或第三方检测机构出具的检验报告中体现）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37"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光学透雾</w:t>
            </w:r>
          </w:p>
        </w:tc>
        <w:tc>
          <w:tcPr>
            <w:tcW w:w="4062"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具有自动、关闭、开启光学透雾设置选项，透雾等级0-100可调。当检测到雾的浓度达到设定的阈值时，可自动在算法透雾和光学透雾之间进行切换。具有三种滤光片，在白天、夜晚及有雾情况下可自动切换不同的滤光片进行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7"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信噪比</w:t>
            </w:r>
          </w:p>
        </w:tc>
        <w:tc>
          <w:tcPr>
            <w:tcW w:w="4062"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信噪比≥60dB，码率是6M时网络延时不大于110ms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7"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▲快速聚焦</w:t>
            </w:r>
          </w:p>
        </w:tc>
        <w:tc>
          <w:tcPr>
            <w:tcW w:w="4062"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支持快速聚焦功能，当设备跟踪行人或机动车等移动目标并录像时，单帧回放录像文件，每1帧画面均应清晰可见（要求在公安部或第三方检测机构出具的检验报告中体现）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7"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网络适应性</w:t>
            </w:r>
          </w:p>
        </w:tc>
        <w:tc>
          <w:tcPr>
            <w:tcW w:w="4062"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具备较强的网络自适应能力，在丢包率为30%的网络环境下，仍可正常显示监视画面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7"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水平速度</w:t>
            </w:r>
          </w:p>
        </w:tc>
        <w:tc>
          <w:tcPr>
            <w:tcW w:w="4062"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支持水平手控速度不小于900°/S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7"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垂直速度</w:t>
            </w:r>
          </w:p>
        </w:tc>
        <w:tc>
          <w:tcPr>
            <w:tcW w:w="4062"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垂直手控速度不小于300°/S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7"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本地存储</w:t>
            </w:r>
          </w:p>
        </w:tc>
        <w:tc>
          <w:tcPr>
            <w:tcW w:w="4062"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球机应具备本地存储功能，支持SD卡热插拔，最大支持256GB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7"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接口</w:t>
            </w:r>
          </w:p>
        </w:tc>
        <w:tc>
          <w:tcPr>
            <w:tcW w:w="4062"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支持16路报警输入接口，4路报警输出接口，支持1路音频输入和1路输出接口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37"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编码方式</w:t>
            </w:r>
          </w:p>
        </w:tc>
        <w:tc>
          <w:tcPr>
            <w:tcW w:w="4062"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可通过IE浏览器将视频编码格式设置为H.265、H.264、MPEG-4、MJPEG，可将H.264、H.265格式设置为Baseline/Main/High Profile；音频编码支持MP2L2、G.711ulaw、G.711alaw、G.726、G.722.1、G.729、G.723、AAC及PCM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7"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五码流</w:t>
            </w:r>
          </w:p>
        </w:tc>
        <w:tc>
          <w:tcPr>
            <w:tcW w:w="4062"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支持五码流输出，主码流、第五码流同时支持1920x1200@60fps、1920x1080@60fps、1280x960@60fps、1280x720@60fps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37"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车牌识别</w:t>
            </w:r>
          </w:p>
        </w:tc>
        <w:tc>
          <w:tcPr>
            <w:tcW w:w="4062"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白天和夜间，车辆捕获率不小于99%，车牌识别率不小于99%；同时可在抓拍图片上叠加监测点编号、监测点信息、摄像机编号、抓拍时间、车牌号码、车身颜色、车辆类型、场景编号、场景名称等信息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7"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智能分析</w:t>
            </w:r>
          </w:p>
        </w:tc>
        <w:tc>
          <w:tcPr>
            <w:tcW w:w="4062"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支持违停、逆行、掉头、道路拥堵、压线、机占非、违法变道等检测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7"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可视域</w:t>
            </w:r>
          </w:p>
        </w:tc>
        <w:tc>
          <w:tcPr>
            <w:tcW w:w="4062"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球机可响应平台下发的获取可视域信息指令，上报设备视场角、可视距离、安装位置、镜头指向方位。其中设备视场角、可视距离能够随着倍率变化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7"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防护等级</w:t>
            </w:r>
          </w:p>
        </w:tc>
        <w:tc>
          <w:tcPr>
            <w:tcW w:w="4062" w:type="pct"/>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室外球机应具备较好防护性能，支持IP67、15KV防浪涌</w:t>
            </w:r>
          </w:p>
        </w:tc>
      </w:tr>
    </w:tbl>
    <w:p>
      <w:pPr>
        <w:spacing w:after="0"/>
        <w:ind w:firstLine="420" w:firstLineChars="200"/>
        <w:rPr>
          <w:rFonts w:ascii="宋体" w:hAnsi="宋体" w:eastAsia="宋体" w:cs="宋体"/>
          <w:color w:val="auto"/>
          <w:sz w:val="21"/>
          <w:szCs w:val="21"/>
        </w:rPr>
      </w:pPr>
    </w:p>
    <w:p>
      <w:pPr>
        <w:rPr>
          <w:rFonts w:ascii="宋体" w:hAnsi="宋体" w:eastAsia="宋体" w:cs="宋体"/>
          <w:b/>
          <w:bCs/>
          <w:color w:val="auto"/>
          <w:sz w:val="21"/>
          <w:szCs w:val="21"/>
        </w:rPr>
      </w:pPr>
      <w:r>
        <w:rPr>
          <w:rFonts w:hint="eastAsia" w:ascii="宋体" w:hAnsi="宋体" w:eastAsia="宋体" w:cs="宋体"/>
          <w:b/>
          <w:bCs/>
          <w:color w:val="auto"/>
          <w:sz w:val="21"/>
          <w:szCs w:val="21"/>
        </w:rPr>
        <w:br w:type="page"/>
      </w:r>
      <w:r>
        <w:rPr>
          <w:rFonts w:hint="eastAsia" w:ascii="宋体" w:hAnsi="宋体" w:eastAsia="宋体" w:cs="宋体"/>
          <w:b/>
          <w:bCs/>
          <w:color w:val="auto"/>
          <w:sz w:val="21"/>
          <w:szCs w:val="21"/>
        </w:rPr>
        <w:t>7.2 磁盘阵列存储服务器</w:t>
      </w: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2"/>
        <w:gridCol w:w="6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b/>
                <w:bCs/>
                <w:color w:val="auto"/>
                <w:sz w:val="21"/>
                <w:szCs w:val="21"/>
              </w:rPr>
            </w:pPr>
            <w:r>
              <w:rPr>
                <w:rFonts w:hint="eastAsia" w:ascii="宋体" w:hAnsi="宋体" w:eastAsia="宋体" w:cs="宋体"/>
                <w:b/>
                <w:bCs/>
                <w:color w:val="auto"/>
                <w:sz w:val="21"/>
                <w:szCs w:val="21"/>
              </w:rPr>
              <w:t>功能指标</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b/>
                <w:bCs/>
                <w:color w:val="auto"/>
                <w:sz w:val="21"/>
                <w:szCs w:val="21"/>
              </w:rPr>
            </w:pPr>
            <w:r>
              <w:rPr>
                <w:rFonts w:hint="eastAsia" w:ascii="宋体" w:hAnsi="宋体" w:eastAsia="宋体" w:cs="宋体"/>
                <w:b/>
                <w:bCs/>
                <w:color w:val="auto"/>
                <w:sz w:val="21"/>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自主产品</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完全自主产品，采用linux存储专用操作系统，不接受OEM或联合品牌产品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硬盘</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可接入硬盘≥36块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系统配置</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linux操作系统，应配置64位多核处理器，支持4GB内存，可扩展到32GB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网络接口</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标配≥2个千兆网口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▲混合流直存</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应能对视音频、图片、智能分析录像的混合直存，无需存储服务器和图片服务器参与，平台服务器宕机时，存储业务正常。（提供公安部或第三方检测机构出具的检验报告证明）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磁盘容量</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支持SATA和SAS的HDD混插；</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支持1T/2T/3T/4T/5T/6T/8T硬盘；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RAID模式</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支持RAID 0、1、3、4、5、6、10、50，60、JBOD多种模式；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RAID误操作恢复</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当RAID组中某块工作正常的硬盘被误拔掉之后30秒钟内再插上，该硬盘能恢复到原RAID组中；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▲VRAID功能</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应能在RAID内丢失2块（含）以上硬盘时，无需等待丢失盘恢复，保留盘数据可正常读取，新数据可正常写入。（提供公安部或第三方检测机构出具的检验报告证明）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数据传输协议</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兼容GB/T28181国家标准；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视频管理功能</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可通过IE浏览器直接登录存储系统，实现视频浏览、回放和下载，确保平台服务器宕机时系统可用性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▲分层存储</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可根据数据对象的重要性、访问频率等属性对数据进行自动分层存储。（提供公安部或第三方检测机构出具的检验报告证明）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▲录像标签</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可对指定的录像段或指定事件的1个或多个前端的不同时间段的录像段添加标签，并自动备份到存档卷中，使之不会被覆盖删除。（提供公安部或第三方检测机构出具的检验报告证明）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节能技术</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支持磁盘非工作状态时休眠， 发生业务读写时能够唤醒磁盘，节约能耗；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录像丢失报警</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实时流检测，丢帧15秒以上则报警；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抽帧存储</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支持对历史视频的抽帧存储，节省空间；可设置抽帧策略、抽帧时间和抽帧率；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数据备份</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支持B/S架构下，对视频数据进行本地和异地备份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断网回传</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断网情况下，前端编码设备存储视频，待网络恢复后，前端编码设备将存储视频直接回传至磁盘阵列，支持手动和自动回传两种；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编码兼容</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支持MPEG4、H.264、H.265、SVAC、4K编码格式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一键配置</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支持一键配置存储服务。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开放性</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提供丰富的SDK程序包和API函数接口，使系统能够与任意编码器、网络摄像机和第三方平台互通互联</w:t>
            </w:r>
          </w:p>
        </w:tc>
      </w:tr>
    </w:tbl>
    <w:p>
      <w:pPr>
        <w:spacing w:after="0"/>
        <w:ind w:firstLine="420" w:firstLineChars="200"/>
        <w:rPr>
          <w:rFonts w:ascii="宋体" w:hAnsi="宋体" w:eastAsia="宋体" w:cs="宋体"/>
          <w:color w:val="auto"/>
          <w:sz w:val="21"/>
          <w:szCs w:val="21"/>
        </w:rPr>
      </w:pPr>
    </w:p>
    <w:p>
      <w:pPr>
        <w:spacing w:after="0"/>
        <w:ind w:firstLine="420" w:firstLineChars="200"/>
        <w:rPr>
          <w:rFonts w:ascii="宋体" w:hAnsi="宋体" w:eastAsia="宋体" w:cs="宋体"/>
          <w:color w:val="auto"/>
          <w:sz w:val="21"/>
          <w:szCs w:val="21"/>
        </w:rPr>
      </w:pPr>
    </w:p>
    <w:p>
      <w:pPr>
        <w:spacing w:after="0"/>
        <w:ind w:firstLine="420" w:firstLineChars="200"/>
        <w:rPr>
          <w:rFonts w:ascii="宋体" w:hAnsi="宋体" w:eastAsia="宋体" w:cs="宋体"/>
          <w:color w:val="auto"/>
          <w:sz w:val="21"/>
          <w:szCs w:val="21"/>
        </w:rPr>
      </w:pPr>
    </w:p>
    <w:p>
      <w:pPr>
        <w:spacing w:after="0"/>
        <w:ind w:firstLine="420" w:firstLineChars="200"/>
        <w:rPr>
          <w:rFonts w:ascii="宋体" w:hAnsi="宋体" w:eastAsia="宋体" w:cs="宋体"/>
          <w:color w:val="auto"/>
          <w:sz w:val="21"/>
          <w:szCs w:val="21"/>
        </w:rPr>
      </w:pPr>
    </w:p>
    <w:p>
      <w:pPr>
        <w:spacing w:after="0"/>
        <w:rPr>
          <w:rFonts w:ascii="宋体" w:hAnsi="宋体" w:eastAsia="宋体" w:cs="宋体"/>
          <w:color w:val="auto"/>
          <w:sz w:val="21"/>
          <w:szCs w:val="21"/>
        </w:rPr>
      </w:pPr>
    </w:p>
    <w:p>
      <w:pPr>
        <w:spacing w:before="72" w:beforeLines="20" w:after="72" w:afterLines="20"/>
        <w:ind w:firstLine="422" w:firstLineChars="200"/>
        <w:rPr>
          <w:rFonts w:ascii="宋体" w:hAnsi="宋体" w:eastAsia="宋体" w:cs="宋体"/>
          <w:color w:val="auto"/>
          <w:sz w:val="21"/>
          <w:szCs w:val="21"/>
        </w:rPr>
      </w:pPr>
      <w:r>
        <w:rPr>
          <w:rFonts w:hint="eastAsia" w:ascii="宋体" w:hAnsi="宋体" w:eastAsia="宋体" w:cs="宋体"/>
          <w:b/>
          <w:bCs/>
          <w:color w:val="auto"/>
          <w:sz w:val="21"/>
          <w:szCs w:val="21"/>
        </w:rPr>
        <w:t>7.3 智慧单元存储服务器</w:t>
      </w: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2"/>
        <w:gridCol w:w="6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b/>
                <w:bCs/>
                <w:color w:val="auto"/>
                <w:sz w:val="21"/>
                <w:szCs w:val="21"/>
              </w:rPr>
            </w:pPr>
            <w:r>
              <w:rPr>
                <w:rFonts w:hint="eastAsia" w:ascii="宋体" w:hAnsi="宋体" w:eastAsia="宋体" w:cs="宋体"/>
                <w:b/>
                <w:bCs/>
                <w:color w:val="auto"/>
                <w:sz w:val="21"/>
                <w:szCs w:val="21"/>
              </w:rPr>
              <w:t>功能指标</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b/>
                <w:bCs/>
                <w:color w:val="auto"/>
                <w:sz w:val="21"/>
                <w:szCs w:val="21"/>
              </w:rPr>
            </w:pPr>
            <w:r>
              <w:rPr>
                <w:rFonts w:hint="eastAsia" w:ascii="宋体" w:hAnsi="宋体" w:eastAsia="宋体" w:cs="宋体"/>
                <w:b/>
                <w:bCs/>
                <w:color w:val="auto"/>
                <w:sz w:val="21"/>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自主产品</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完全自主产品，采用linux存储专用操作系统，不接受OEM或联合品牌产品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硬盘</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可接入硬盘≥24块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系统配置</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linux操作系统，应配置64位多核处理器，支持16GB内存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网络接口</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标配≥2个千兆网口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▲混合流直存</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应能对视音频、图片、智能分析录像的混合直存，无需存储服务器和图片服务器参与（提供公安部或第三方检测机构出具的检验报告证明）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磁盘容量</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支持SATA和SAS的HDD混插；</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支持1T/2T/3T/4T/5T/6T/8T硬盘；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RAID模式</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支持RAID 0、1、3、4、5、6、10、50，60、JBOD多种模式；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RAID误操作恢复</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当RAID组中某块工作正常的硬盘被误拔掉之后30秒钟内再插上，该硬盘能恢复到原RAID组中；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▲VRAID功能</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应能在RAID内丢失2块（含）以上硬盘时，无需等待丢失盘恢复，保留盘数据可正常读取，新数据可正常写入。（提供公安部或第三方检测机构出具的检验报告证明）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数据传输协议</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兼容GB/T28181国家标准；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视频管理功能</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可通过IE浏览器直接登录存储系统，实现视频浏览、回放和下载，确保平台服务器宕机时系统可用性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▲分层存储</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可根据数据对象的重要性、访问频率等属性对数据进行自动分层存储。（提供公安部或第三方检测机构出具的检验报告证明）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节能技术</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支持磁盘非工作状态时休眠， 发生业务读写时能够唤醒磁盘，节约能耗；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数据备份</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支持B/S架构下，对视频数据进行本地和异地备份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断网回传</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断网情况下，前端编码设备存储视频，待网络恢复后，前端编码设备将存储视频直接回传至磁盘阵列，支持手动和自动回传两种；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编码兼容</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支持MPEG4、H.264、H.265、SVAC、4K编码格式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一键配置</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支持一键配置存储服务。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57"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开放性</w:t>
            </w:r>
          </w:p>
        </w:tc>
        <w:tc>
          <w:tcPr>
            <w:tcW w:w="3842" w:type="pct"/>
            <w:tcBorders>
              <w:top w:val="single" w:color="auto" w:sz="4" w:space="0"/>
              <w:left w:val="single" w:color="auto" w:sz="4" w:space="0"/>
              <w:bottom w:val="single" w:color="auto" w:sz="4" w:space="0"/>
              <w:right w:val="single" w:color="auto" w:sz="4" w:space="0"/>
            </w:tcBorders>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提供丰富的SDK程序包和API函数接口，使系统能够与任意编码器、网络摄像机和第三方平台互通互联</w:t>
            </w:r>
          </w:p>
        </w:tc>
      </w:tr>
    </w:tbl>
    <w:p>
      <w:pPr>
        <w:spacing w:after="0"/>
        <w:ind w:firstLine="420" w:firstLineChars="200"/>
        <w:rPr>
          <w:rFonts w:ascii="宋体" w:hAnsi="宋体" w:eastAsia="宋体" w:cs="宋体"/>
          <w:color w:val="auto"/>
          <w:sz w:val="21"/>
          <w:szCs w:val="21"/>
        </w:rPr>
      </w:pPr>
    </w:p>
    <w:p>
      <w:pPr>
        <w:pStyle w:val="2"/>
        <w:rPr>
          <w:color w:val="auto"/>
        </w:rPr>
      </w:pPr>
    </w:p>
    <w:p>
      <w:pPr>
        <w:spacing w:before="72" w:beforeLines="20" w:after="72" w:afterLines="20"/>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7.4 智慧监控单元</w:t>
      </w: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9"/>
        <w:gridCol w:w="6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167" w:type="pct"/>
          </w:tcPr>
          <w:p>
            <w:pPr>
              <w:spacing w:after="0"/>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功能指标</w:t>
            </w:r>
          </w:p>
        </w:tc>
        <w:tc>
          <w:tcPr>
            <w:tcW w:w="3832" w:type="pct"/>
          </w:tcPr>
          <w:p>
            <w:pPr>
              <w:spacing w:after="0"/>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67" w:type="pct"/>
          </w:tcPr>
          <w:p>
            <w:pPr>
              <w:spacing w:after="0"/>
              <w:jc w:val="center"/>
              <w:rPr>
                <w:rFonts w:ascii="宋体" w:hAnsi="宋体" w:eastAsia="宋体" w:cs="宋体"/>
                <w:color w:val="auto"/>
                <w:sz w:val="21"/>
                <w:szCs w:val="21"/>
              </w:rPr>
            </w:pPr>
            <w:r>
              <w:rPr>
                <w:rFonts w:hint="eastAsia" w:ascii="宋体" w:hAnsi="宋体" w:eastAsia="宋体" w:cs="宋体"/>
                <w:color w:val="auto"/>
                <w:sz w:val="21"/>
                <w:szCs w:val="21"/>
              </w:rPr>
              <w:t>一体化设计</w:t>
            </w:r>
          </w:p>
        </w:tc>
        <w:tc>
          <w:tcPr>
            <w:tcW w:w="3832" w:type="pct"/>
          </w:tcPr>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要求为一体化监控单元，包含高清一体化嵌入式摄像机、高清镜头、室外防护罩、网络信号防雷器、电源适配器等。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67" w:type="pct"/>
          </w:tcPr>
          <w:p>
            <w:pPr>
              <w:spacing w:after="0"/>
              <w:jc w:val="center"/>
              <w:rPr>
                <w:rFonts w:ascii="宋体" w:hAnsi="宋体" w:eastAsia="宋体" w:cs="宋体"/>
                <w:color w:val="auto"/>
                <w:sz w:val="21"/>
                <w:szCs w:val="21"/>
              </w:rPr>
            </w:pPr>
            <w:r>
              <w:rPr>
                <w:rFonts w:hint="eastAsia" w:ascii="宋体" w:hAnsi="宋体" w:eastAsia="宋体" w:cs="宋体"/>
                <w:color w:val="auto"/>
                <w:sz w:val="21"/>
                <w:szCs w:val="21"/>
              </w:rPr>
              <w:t>传感器类型</w:t>
            </w:r>
          </w:p>
        </w:tc>
        <w:tc>
          <w:tcPr>
            <w:tcW w:w="3832" w:type="pct"/>
          </w:tcPr>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要求采用不低于1/1.8" Progressive Scan CMOS；采用11-40mm变焦镜头；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67" w:type="pct"/>
          </w:tcPr>
          <w:p>
            <w:pPr>
              <w:spacing w:after="0"/>
              <w:jc w:val="center"/>
              <w:rPr>
                <w:rFonts w:ascii="宋体" w:hAnsi="宋体" w:eastAsia="宋体" w:cs="宋体"/>
                <w:color w:val="auto"/>
                <w:sz w:val="21"/>
                <w:szCs w:val="21"/>
              </w:rPr>
            </w:pPr>
            <w:r>
              <w:rPr>
                <w:rFonts w:hint="eastAsia" w:ascii="宋体" w:hAnsi="宋体" w:eastAsia="宋体" w:cs="宋体"/>
                <w:color w:val="auto"/>
                <w:sz w:val="21"/>
                <w:szCs w:val="21"/>
              </w:rPr>
              <w:t>图像分辨率和帧率</w:t>
            </w:r>
          </w:p>
        </w:tc>
        <w:tc>
          <w:tcPr>
            <w:tcW w:w="3832" w:type="pct"/>
          </w:tcPr>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最大支持分辨率1920×1080；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67" w:type="pct"/>
          </w:tcPr>
          <w:p>
            <w:pPr>
              <w:spacing w:after="0"/>
              <w:jc w:val="center"/>
              <w:rPr>
                <w:rFonts w:ascii="宋体" w:hAnsi="宋体" w:eastAsia="宋体" w:cs="宋体"/>
                <w:color w:val="auto"/>
                <w:sz w:val="21"/>
                <w:szCs w:val="21"/>
              </w:rPr>
            </w:pPr>
            <w:r>
              <w:rPr>
                <w:rFonts w:hint="eastAsia" w:ascii="宋体" w:hAnsi="宋体" w:eastAsia="宋体" w:cs="宋体"/>
                <w:color w:val="auto"/>
                <w:sz w:val="21"/>
                <w:szCs w:val="21"/>
              </w:rPr>
              <w:t>最低照度</w:t>
            </w:r>
          </w:p>
        </w:tc>
        <w:tc>
          <w:tcPr>
            <w:tcW w:w="3832" w:type="pct"/>
          </w:tcPr>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彩色≤0.001 lx (AGC ON，RJ45输出)；黑白≤0.0001 lx (AGC ON，RJ45输出)；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67" w:type="pct"/>
          </w:tcPr>
          <w:p>
            <w:pPr>
              <w:spacing w:after="0"/>
              <w:jc w:val="center"/>
              <w:rPr>
                <w:rFonts w:ascii="宋体" w:hAnsi="宋体" w:eastAsia="宋体" w:cs="宋体"/>
                <w:color w:val="auto"/>
                <w:sz w:val="21"/>
                <w:szCs w:val="21"/>
              </w:rPr>
            </w:pPr>
            <w:r>
              <w:rPr>
                <w:rFonts w:hint="eastAsia" w:ascii="宋体" w:hAnsi="宋体" w:eastAsia="宋体" w:cs="宋体"/>
                <w:color w:val="auto"/>
                <w:sz w:val="21"/>
                <w:szCs w:val="21"/>
              </w:rPr>
              <w:t>宽动态</w:t>
            </w:r>
          </w:p>
        </w:tc>
        <w:tc>
          <w:tcPr>
            <w:tcW w:w="3832" w:type="pct"/>
          </w:tcPr>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需具≥120dB宽动态,数字降噪功能、强光抑制功能；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67" w:type="pct"/>
          </w:tcPr>
          <w:p>
            <w:pPr>
              <w:spacing w:after="0"/>
              <w:jc w:val="center"/>
              <w:rPr>
                <w:rFonts w:ascii="宋体" w:hAnsi="宋体" w:eastAsia="宋体" w:cs="宋体"/>
                <w:color w:val="auto"/>
                <w:sz w:val="21"/>
                <w:szCs w:val="21"/>
              </w:rPr>
            </w:pPr>
            <w:r>
              <w:rPr>
                <w:rFonts w:hint="eastAsia" w:ascii="宋体" w:hAnsi="宋体" w:eastAsia="宋体" w:cs="宋体"/>
                <w:color w:val="auto"/>
                <w:sz w:val="21"/>
                <w:szCs w:val="21"/>
              </w:rPr>
              <w:t>视频压缩标准</w:t>
            </w:r>
          </w:p>
        </w:tc>
        <w:tc>
          <w:tcPr>
            <w:tcW w:w="3832" w:type="pct"/>
          </w:tcPr>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需支持H.264视频压缩标准；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67" w:type="pct"/>
          </w:tcPr>
          <w:p>
            <w:pPr>
              <w:spacing w:after="0"/>
              <w:jc w:val="center"/>
              <w:rPr>
                <w:rFonts w:ascii="宋体" w:hAnsi="宋体" w:eastAsia="宋体" w:cs="宋体"/>
                <w:color w:val="auto"/>
                <w:sz w:val="21"/>
                <w:szCs w:val="21"/>
              </w:rPr>
            </w:pPr>
            <w:r>
              <w:rPr>
                <w:rFonts w:hint="eastAsia" w:ascii="宋体" w:hAnsi="宋体" w:eastAsia="宋体" w:cs="宋体"/>
                <w:color w:val="auto"/>
                <w:sz w:val="21"/>
                <w:szCs w:val="21"/>
              </w:rPr>
              <w:t>系统双备份功能</w:t>
            </w:r>
          </w:p>
        </w:tc>
        <w:tc>
          <w:tcPr>
            <w:tcW w:w="3832" w:type="pct"/>
          </w:tcPr>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设备的操作系统文件具有双重备份功能，当一个备份文件损坏或异常时，设备仍可正常运行；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67" w:type="pct"/>
          </w:tcPr>
          <w:p>
            <w:pPr>
              <w:spacing w:after="0"/>
              <w:jc w:val="center"/>
              <w:rPr>
                <w:rFonts w:ascii="宋体" w:hAnsi="宋体" w:eastAsia="宋体" w:cs="宋体"/>
                <w:color w:val="auto"/>
                <w:sz w:val="21"/>
                <w:szCs w:val="21"/>
              </w:rPr>
            </w:pPr>
            <w:r>
              <w:rPr>
                <w:rFonts w:hint="eastAsia" w:ascii="宋体" w:hAnsi="宋体" w:eastAsia="宋体" w:cs="宋体"/>
                <w:color w:val="auto"/>
                <w:sz w:val="21"/>
                <w:szCs w:val="21"/>
              </w:rPr>
              <w:t>网络升级断网保护功能</w:t>
            </w:r>
          </w:p>
        </w:tc>
        <w:tc>
          <w:tcPr>
            <w:tcW w:w="3832" w:type="pct"/>
          </w:tcPr>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设备在进行网络升级过程中，网络异常导致升级失败时，经重新启动后仍可使用升级前版本正常运行；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67" w:type="pct"/>
          </w:tcPr>
          <w:p>
            <w:pPr>
              <w:spacing w:after="0"/>
              <w:jc w:val="center"/>
              <w:rPr>
                <w:rFonts w:ascii="宋体" w:hAnsi="宋体" w:eastAsia="宋体" w:cs="宋体"/>
                <w:color w:val="auto"/>
                <w:sz w:val="21"/>
                <w:szCs w:val="21"/>
              </w:rPr>
            </w:pPr>
            <w:r>
              <w:rPr>
                <w:rFonts w:hint="eastAsia" w:ascii="宋体" w:hAnsi="宋体" w:eastAsia="宋体" w:cs="宋体"/>
                <w:color w:val="auto"/>
                <w:sz w:val="21"/>
                <w:szCs w:val="21"/>
              </w:rPr>
              <w:t>一键恢复功能</w:t>
            </w:r>
          </w:p>
        </w:tc>
        <w:tc>
          <w:tcPr>
            <w:tcW w:w="3832" w:type="pct"/>
          </w:tcPr>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应支持reset键一键恢复默认参数，其密码及IP不变；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67" w:type="pct"/>
          </w:tcPr>
          <w:p>
            <w:pPr>
              <w:spacing w:after="0"/>
              <w:jc w:val="center"/>
              <w:rPr>
                <w:rFonts w:ascii="宋体" w:hAnsi="宋体" w:eastAsia="宋体" w:cs="宋体"/>
                <w:color w:val="auto"/>
                <w:sz w:val="21"/>
                <w:szCs w:val="21"/>
              </w:rPr>
            </w:pPr>
            <w:r>
              <w:rPr>
                <w:rFonts w:hint="eastAsia" w:ascii="宋体" w:hAnsi="宋体" w:eastAsia="宋体" w:cs="宋体"/>
                <w:color w:val="auto"/>
                <w:sz w:val="21"/>
                <w:szCs w:val="21"/>
              </w:rPr>
              <w:t>存储方式</w:t>
            </w:r>
          </w:p>
        </w:tc>
        <w:tc>
          <w:tcPr>
            <w:tcW w:w="3832" w:type="pct"/>
          </w:tcPr>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应可将视频或图像存储到TF/SD卡，支持TF/SD卡热插拔，最大支持插入128GTF/SD卡；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67" w:type="pct"/>
          </w:tcPr>
          <w:p>
            <w:pPr>
              <w:spacing w:after="0"/>
              <w:jc w:val="center"/>
              <w:rPr>
                <w:rFonts w:ascii="宋体" w:hAnsi="宋体" w:eastAsia="宋体" w:cs="宋体"/>
                <w:color w:val="auto"/>
                <w:sz w:val="21"/>
                <w:szCs w:val="21"/>
              </w:rPr>
            </w:pPr>
            <w:r>
              <w:rPr>
                <w:rFonts w:hint="eastAsia" w:ascii="宋体" w:hAnsi="宋体" w:eastAsia="宋体" w:cs="宋体"/>
                <w:color w:val="auto"/>
                <w:sz w:val="21"/>
                <w:szCs w:val="21"/>
              </w:rPr>
              <w:t>车辆捕获功能</w:t>
            </w:r>
          </w:p>
        </w:tc>
        <w:tc>
          <w:tcPr>
            <w:tcW w:w="3832" w:type="pct"/>
          </w:tcPr>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应具备车辆捕获功能，安装位置较正，天气较好情况下，支持白天捕获率≥85%，晚上捕获率≥80%；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67" w:type="pct"/>
          </w:tcPr>
          <w:p>
            <w:pPr>
              <w:spacing w:after="0"/>
              <w:jc w:val="center"/>
              <w:rPr>
                <w:rFonts w:ascii="宋体" w:hAnsi="宋体" w:eastAsia="宋体" w:cs="宋体"/>
                <w:color w:val="auto"/>
                <w:sz w:val="21"/>
                <w:szCs w:val="21"/>
              </w:rPr>
            </w:pPr>
            <w:r>
              <w:rPr>
                <w:rFonts w:hint="eastAsia" w:ascii="宋体" w:hAnsi="宋体" w:eastAsia="宋体" w:cs="宋体"/>
                <w:color w:val="auto"/>
                <w:sz w:val="21"/>
                <w:szCs w:val="21"/>
              </w:rPr>
              <w:t>车牌识别功能</w:t>
            </w:r>
          </w:p>
        </w:tc>
        <w:tc>
          <w:tcPr>
            <w:tcW w:w="3832" w:type="pct"/>
          </w:tcPr>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 xml:space="preserve">应具备车牌识别功能，白天识别准确率≥90%，晚上识别准确率≥85%；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67" w:type="pct"/>
          </w:tcPr>
          <w:p>
            <w:pPr>
              <w:spacing w:after="0"/>
              <w:jc w:val="center"/>
              <w:rPr>
                <w:rFonts w:ascii="宋体" w:hAnsi="宋体" w:eastAsia="宋体" w:cs="宋体"/>
                <w:color w:val="auto"/>
                <w:sz w:val="21"/>
                <w:szCs w:val="21"/>
              </w:rPr>
            </w:pPr>
            <w:r>
              <w:rPr>
                <w:rFonts w:hint="eastAsia" w:ascii="宋体" w:hAnsi="宋体" w:eastAsia="宋体" w:cs="宋体"/>
                <w:color w:val="auto"/>
                <w:sz w:val="21"/>
                <w:szCs w:val="21"/>
              </w:rPr>
              <w:t>车身颜色识别功能</w:t>
            </w:r>
          </w:p>
        </w:tc>
        <w:tc>
          <w:tcPr>
            <w:tcW w:w="3832" w:type="pct"/>
          </w:tcPr>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设备应可识别≥11种车身颜色，包括红、黄、蓝、绿、紫、粉、棕、白、黑、银（灰）、青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67" w:type="pct"/>
          </w:tcPr>
          <w:p>
            <w:pPr>
              <w:spacing w:after="0"/>
              <w:jc w:val="center"/>
              <w:rPr>
                <w:rFonts w:ascii="宋体" w:hAnsi="宋体" w:eastAsia="宋体" w:cs="宋体"/>
                <w:color w:val="auto"/>
                <w:sz w:val="21"/>
                <w:szCs w:val="21"/>
              </w:rPr>
            </w:pPr>
            <w:r>
              <w:rPr>
                <w:rFonts w:hint="eastAsia" w:ascii="宋体" w:hAnsi="宋体" w:eastAsia="宋体" w:cs="宋体"/>
                <w:color w:val="auto"/>
                <w:sz w:val="21"/>
                <w:szCs w:val="21"/>
              </w:rPr>
              <w:t>▲智能编码</w:t>
            </w:r>
          </w:p>
        </w:tc>
        <w:tc>
          <w:tcPr>
            <w:tcW w:w="3832" w:type="pct"/>
          </w:tcPr>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支持smart JPEG编码，能够有效减小抓拍图片大小，压缩比0-100可设置，压缩区域个数1-6可配置；（要求在公安部或第三方检测机构出具的检验报告中体现）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67" w:type="pct"/>
          </w:tcPr>
          <w:p>
            <w:pPr>
              <w:spacing w:after="0"/>
              <w:jc w:val="center"/>
              <w:rPr>
                <w:rFonts w:ascii="宋体" w:hAnsi="宋体" w:eastAsia="宋体" w:cs="宋体"/>
                <w:color w:val="auto"/>
                <w:sz w:val="21"/>
                <w:szCs w:val="21"/>
              </w:rPr>
            </w:pPr>
            <w:r>
              <w:rPr>
                <w:rFonts w:hint="eastAsia" w:ascii="宋体" w:hAnsi="宋体" w:eastAsia="宋体" w:cs="宋体"/>
                <w:color w:val="auto"/>
                <w:sz w:val="21"/>
                <w:szCs w:val="21"/>
              </w:rPr>
              <w:t>外壳防护等级</w:t>
            </w:r>
          </w:p>
        </w:tc>
        <w:tc>
          <w:tcPr>
            <w:tcW w:w="3832" w:type="pct"/>
          </w:tcPr>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应达到IP66。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67" w:type="pct"/>
          </w:tcPr>
          <w:p>
            <w:pPr>
              <w:spacing w:after="0"/>
              <w:jc w:val="center"/>
              <w:rPr>
                <w:rFonts w:ascii="宋体" w:hAnsi="宋体" w:eastAsia="宋体" w:cs="宋体"/>
                <w:color w:val="auto"/>
                <w:sz w:val="21"/>
                <w:szCs w:val="21"/>
              </w:rPr>
            </w:pPr>
            <w:r>
              <w:rPr>
                <w:rFonts w:hint="eastAsia" w:ascii="宋体" w:hAnsi="宋体" w:eastAsia="宋体" w:cs="宋体"/>
                <w:color w:val="auto"/>
                <w:sz w:val="21"/>
                <w:szCs w:val="21"/>
              </w:rPr>
              <w:t>电压抗波动范围</w:t>
            </w:r>
          </w:p>
        </w:tc>
        <w:tc>
          <w:tcPr>
            <w:tcW w:w="3832" w:type="pct"/>
          </w:tcPr>
          <w:p>
            <w:pPr>
              <w:spacing w:after="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要求电源电压在AC220V±25%的范围内变化时，设备能正常工作；</w:t>
            </w:r>
          </w:p>
        </w:tc>
      </w:tr>
    </w:tbl>
    <w:p>
      <w:pPr>
        <w:spacing w:after="0"/>
        <w:ind w:firstLine="420" w:firstLineChars="200"/>
        <w:rPr>
          <w:rFonts w:ascii="宋体" w:hAnsi="宋体" w:eastAsia="宋体" w:cs="宋体"/>
          <w:color w:val="auto"/>
          <w:sz w:val="21"/>
          <w:szCs w:val="21"/>
        </w:rPr>
      </w:pPr>
    </w:p>
    <w:p>
      <w:pPr>
        <w:spacing w:after="0"/>
        <w:rPr>
          <w:rFonts w:ascii="宋体" w:hAnsi="宋体" w:eastAsia="宋体" w:cs="宋体"/>
          <w:color w:val="auto"/>
          <w:sz w:val="21"/>
          <w:szCs w:val="21"/>
        </w:rPr>
      </w:pPr>
    </w:p>
    <w:p>
      <w:pPr>
        <w:spacing w:before="72" w:beforeLines="20" w:after="72" w:afterLines="20"/>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7.5 应用管理服务器</w:t>
      </w:r>
    </w:p>
    <w:tbl>
      <w:tblPr>
        <w:tblStyle w:val="16"/>
        <w:tblW w:w="4999" w:type="pct"/>
        <w:jc w:val="center"/>
        <w:tblLayout w:type="autofit"/>
        <w:tblCellMar>
          <w:top w:w="0" w:type="dxa"/>
          <w:left w:w="30" w:type="dxa"/>
          <w:bottom w:w="0" w:type="dxa"/>
          <w:right w:w="30" w:type="dxa"/>
        </w:tblCellMar>
      </w:tblPr>
      <w:tblGrid>
        <w:gridCol w:w="1927"/>
        <w:gridCol w:w="6437"/>
      </w:tblGrid>
      <w:tr>
        <w:tblPrEx>
          <w:tblCellMar>
            <w:top w:w="0" w:type="dxa"/>
            <w:left w:w="30" w:type="dxa"/>
            <w:bottom w:w="0" w:type="dxa"/>
            <w:right w:w="30" w:type="dxa"/>
          </w:tblCellMar>
        </w:tblPrEx>
        <w:trPr>
          <w:trHeight w:val="217" w:hRule="atLeast"/>
          <w:jc w:val="center"/>
        </w:trPr>
        <w:tc>
          <w:tcPr>
            <w:tcW w:w="1152" w:type="pct"/>
            <w:tcBorders>
              <w:top w:val="single" w:color="auto" w:sz="6" w:space="0"/>
              <w:left w:val="single" w:color="auto" w:sz="6" w:space="0"/>
              <w:bottom w:val="single" w:color="auto" w:sz="6" w:space="0"/>
              <w:right w:val="single" w:color="auto" w:sz="6" w:space="0"/>
            </w:tcBorders>
          </w:tcPr>
          <w:p>
            <w:pPr>
              <w:autoSpaceDE w:val="0"/>
              <w:autoSpaceDN w:val="0"/>
              <w:spacing w:after="0"/>
              <w:jc w:val="center"/>
              <w:rPr>
                <w:rFonts w:ascii="宋体" w:hAnsi="宋体" w:eastAsia="宋体" w:cs="宋体"/>
                <w:b/>
                <w:color w:val="auto"/>
                <w:sz w:val="21"/>
                <w:szCs w:val="21"/>
              </w:rPr>
            </w:pPr>
            <w:r>
              <w:rPr>
                <w:rFonts w:hint="eastAsia" w:ascii="宋体" w:hAnsi="宋体" w:eastAsia="宋体" w:cs="宋体"/>
                <w:b/>
                <w:color w:val="auto"/>
                <w:sz w:val="21"/>
                <w:szCs w:val="21"/>
              </w:rPr>
              <w:t>功能指标</w:t>
            </w:r>
          </w:p>
        </w:tc>
        <w:tc>
          <w:tcPr>
            <w:tcW w:w="3847" w:type="pct"/>
            <w:tcBorders>
              <w:top w:val="single" w:color="auto" w:sz="6" w:space="0"/>
              <w:left w:val="single" w:color="auto" w:sz="6" w:space="0"/>
              <w:bottom w:val="single" w:color="auto" w:sz="6" w:space="0"/>
              <w:right w:val="single" w:color="auto" w:sz="6" w:space="0"/>
            </w:tcBorders>
          </w:tcPr>
          <w:p>
            <w:pPr>
              <w:autoSpaceDE w:val="0"/>
              <w:autoSpaceDN w:val="0"/>
              <w:spacing w:after="0"/>
              <w:jc w:val="center"/>
              <w:rPr>
                <w:rFonts w:ascii="宋体" w:hAnsi="宋体" w:eastAsia="宋体" w:cs="宋体"/>
                <w:b/>
                <w:color w:val="auto"/>
                <w:sz w:val="21"/>
                <w:szCs w:val="21"/>
              </w:rPr>
            </w:pPr>
            <w:r>
              <w:rPr>
                <w:rFonts w:hint="eastAsia" w:ascii="宋体" w:hAnsi="宋体" w:eastAsia="宋体" w:cs="宋体"/>
                <w:b/>
                <w:color w:val="auto"/>
                <w:sz w:val="21"/>
                <w:szCs w:val="21"/>
              </w:rPr>
              <w:t>技术规格要求</w:t>
            </w:r>
          </w:p>
        </w:tc>
      </w:tr>
      <w:tr>
        <w:tblPrEx>
          <w:tblCellMar>
            <w:top w:w="0" w:type="dxa"/>
            <w:left w:w="30" w:type="dxa"/>
            <w:bottom w:w="0" w:type="dxa"/>
            <w:right w:w="30" w:type="dxa"/>
          </w:tblCellMar>
        </w:tblPrEx>
        <w:trPr>
          <w:trHeight w:val="271" w:hRule="atLeast"/>
          <w:jc w:val="center"/>
        </w:trPr>
        <w:tc>
          <w:tcPr>
            <w:tcW w:w="1152" w:type="pct"/>
            <w:tcBorders>
              <w:top w:val="single" w:color="auto" w:sz="6" w:space="0"/>
              <w:left w:val="single" w:color="auto" w:sz="6" w:space="0"/>
              <w:bottom w:val="single" w:color="auto" w:sz="6" w:space="0"/>
              <w:right w:val="single" w:color="auto" w:sz="6" w:space="0"/>
            </w:tcBorders>
          </w:tcPr>
          <w:p>
            <w:pPr>
              <w:autoSpaceDE w:val="0"/>
              <w:autoSpaceDN w:val="0"/>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CPU</w:t>
            </w:r>
          </w:p>
        </w:tc>
        <w:tc>
          <w:tcPr>
            <w:tcW w:w="3847" w:type="pct"/>
            <w:tcBorders>
              <w:top w:val="single" w:color="auto" w:sz="6" w:space="0"/>
              <w:left w:val="single" w:color="auto" w:sz="6" w:space="0"/>
              <w:bottom w:val="single" w:color="auto" w:sz="6" w:space="0"/>
              <w:right w:val="single" w:color="auto" w:sz="6" w:space="0"/>
            </w:tcBorders>
          </w:tcPr>
          <w:p>
            <w:pPr>
              <w:autoSpaceDE w:val="0"/>
              <w:autoSpaceDN w:val="0"/>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相当于4114(10核2.2GHz)×1</w:t>
            </w:r>
          </w:p>
        </w:tc>
      </w:tr>
      <w:tr>
        <w:tblPrEx>
          <w:tblCellMar>
            <w:top w:w="0" w:type="dxa"/>
            <w:left w:w="30" w:type="dxa"/>
            <w:bottom w:w="0" w:type="dxa"/>
            <w:right w:w="30" w:type="dxa"/>
          </w:tblCellMar>
        </w:tblPrEx>
        <w:trPr>
          <w:trHeight w:val="271" w:hRule="atLeast"/>
          <w:jc w:val="center"/>
        </w:trPr>
        <w:tc>
          <w:tcPr>
            <w:tcW w:w="1152" w:type="pct"/>
            <w:tcBorders>
              <w:top w:val="single" w:color="auto" w:sz="6" w:space="0"/>
              <w:left w:val="single" w:color="auto" w:sz="6" w:space="0"/>
              <w:bottom w:val="single" w:color="auto" w:sz="6" w:space="0"/>
              <w:right w:val="single" w:color="auto" w:sz="6" w:space="0"/>
            </w:tcBorders>
          </w:tcPr>
          <w:p>
            <w:pPr>
              <w:autoSpaceDE w:val="0"/>
              <w:autoSpaceDN w:val="0"/>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内存</w:t>
            </w:r>
          </w:p>
        </w:tc>
        <w:tc>
          <w:tcPr>
            <w:tcW w:w="3847" w:type="pct"/>
            <w:tcBorders>
              <w:top w:val="single" w:color="auto" w:sz="6" w:space="0"/>
              <w:left w:val="single" w:color="auto" w:sz="6" w:space="0"/>
              <w:bottom w:val="single" w:color="auto" w:sz="6" w:space="0"/>
              <w:right w:val="single" w:color="auto" w:sz="6" w:space="0"/>
            </w:tcBorders>
          </w:tcPr>
          <w:p>
            <w:pPr>
              <w:autoSpaceDE w:val="0"/>
              <w:autoSpaceDN w:val="0"/>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不低于328GB DDR4</w:t>
            </w:r>
          </w:p>
        </w:tc>
      </w:tr>
      <w:tr>
        <w:tblPrEx>
          <w:tblCellMar>
            <w:top w:w="0" w:type="dxa"/>
            <w:left w:w="30" w:type="dxa"/>
            <w:bottom w:w="0" w:type="dxa"/>
            <w:right w:w="30" w:type="dxa"/>
          </w:tblCellMar>
        </w:tblPrEx>
        <w:trPr>
          <w:trHeight w:val="271" w:hRule="atLeast"/>
          <w:jc w:val="center"/>
        </w:trPr>
        <w:tc>
          <w:tcPr>
            <w:tcW w:w="1152" w:type="pct"/>
            <w:tcBorders>
              <w:top w:val="single" w:color="auto" w:sz="6" w:space="0"/>
              <w:left w:val="single" w:color="auto" w:sz="6" w:space="0"/>
              <w:bottom w:val="single" w:color="auto" w:sz="6" w:space="0"/>
              <w:right w:val="single" w:color="auto" w:sz="6" w:space="0"/>
            </w:tcBorders>
          </w:tcPr>
          <w:p>
            <w:pPr>
              <w:autoSpaceDE w:val="0"/>
              <w:autoSpaceDN w:val="0"/>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硬盘</w:t>
            </w:r>
          </w:p>
        </w:tc>
        <w:tc>
          <w:tcPr>
            <w:tcW w:w="3847" w:type="pct"/>
            <w:tcBorders>
              <w:top w:val="single" w:color="auto" w:sz="6" w:space="0"/>
              <w:left w:val="single" w:color="auto" w:sz="6" w:space="0"/>
              <w:bottom w:val="single" w:color="auto" w:sz="6" w:space="0"/>
              <w:right w:val="single" w:color="auto" w:sz="6" w:space="0"/>
            </w:tcBorders>
          </w:tcPr>
          <w:p>
            <w:pPr>
              <w:autoSpaceDE w:val="0"/>
              <w:autoSpaceDN w:val="0"/>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不低于1TB 7.2K  SATA×2</w:t>
            </w:r>
          </w:p>
        </w:tc>
      </w:tr>
      <w:tr>
        <w:tblPrEx>
          <w:tblCellMar>
            <w:top w:w="0" w:type="dxa"/>
            <w:left w:w="30" w:type="dxa"/>
            <w:bottom w:w="0" w:type="dxa"/>
            <w:right w:w="30" w:type="dxa"/>
          </w:tblCellMar>
        </w:tblPrEx>
        <w:trPr>
          <w:trHeight w:val="271" w:hRule="atLeast"/>
          <w:jc w:val="center"/>
        </w:trPr>
        <w:tc>
          <w:tcPr>
            <w:tcW w:w="1152" w:type="pct"/>
            <w:tcBorders>
              <w:top w:val="single" w:color="auto" w:sz="6" w:space="0"/>
              <w:left w:val="single" w:color="auto" w:sz="6" w:space="0"/>
              <w:bottom w:val="single" w:color="auto" w:sz="6" w:space="0"/>
              <w:right w:val="single" w:color="auto" w:sz="6" w:space="0"/>
            </w:tcBorders>
          </w:tcPr>
          <w:p>
            <w:pPr>
              <w:autoSpaceDE w:val="0"/>
              <w:autoSpaceDN w:val="0"/>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网络接口</w:t>
            </w:r>
          </w:p>
        </w:tc>
        <w:tc>
          <w:tcPr>
            <w:tcW w:w="3847" w:type="pct"/>
            <w:tcBorders>
              <w:top w:val="single" w:color="auto" w:sz="6" w:space="0"/>
              <w:left w:val="single" w:color="auto" w:sz="6" w:space="0"/>
              <w:bottom w:val="single" w:color="auto" w:sz="6" w:space="0"/>
              <w:right w:val="single" w:color="auto" w:sz="6" w:space="0"/>
            </w:tcBorders>
          </w:tcPr>
          <w:p>
            <w:pPr>
              <w:autoSpaceDE w:val="0"/>
              <w:autoSpaceDN w:val="0"/>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不低于1GbE×2</w:t>
            </w:r>
          </w:p>
        </w:tc>
      </w:tr>
      <w:tr>
        <w:tblPrEx>
          <w:tblCellMar>
            <w:top w:w="0" w:type="dxa"/>
            <w:left w:w="30" w:type="dxa"/>
            <w:bottom w:w="0" w:type="dxa"/>
            <w:right w:w="30" w:type="dxa"/>
          </w:tblCellMar>
        </w:tblPrEx>
        <w:trPr>
          <w:trHeight w:val="271" w:hRule="atLeast"/>
          <w:jc w:val="center"/>
        </w:trPr>
        <w:tc>
          <w:tcPr>
            <w:tcW w:w="1152" w:type="pct"/>
            <w:tcBorders>
              <w:top w:val="single" w:color="auto" w:sz="6" w:space="0"/>
              <w:left w:val="single" w:color="auto" w:sz="6" w:space="0"/>
              <w:bottom w:val="single" w:color="auto" w:sz="6" w:space="0"/>
              <w:right w:val="single" w:color="auto" w:sz="6" w:space="0"/>
            </w:tcBorders>
          </w:tcPr>
          <w:p>
            <w:pPr>
              <w:autoSpaceDE w:val="0"/>
              <w:autoSpaceDN w:val="0"/>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电源</w:t>
            </w:r>
          </w:p>
        </w:tc>
        <w:tc>
          <w:tcPr>
            <w:tcW w:w="3847" w:type="pct"/>
            <w:tcBorders>
              <w:top w:val="single" w:color="auto" w:sz="6" w:space="0"/>
              <w:left w:val="single" w:color="auto" w:sz="6" w:space="0"/>
              <w:bottom w:val="single" w:color="auto" w:sz="6" w:space="0"/>
              <w:right w:val="single" w:color="auto" w:sz="6" w:space="0"/>
            </w:tcBorders>
          </w:tcPr>
          <w:p>
            <w:pPr>
              <w:autoSpaceDE w:val="0"/>
              <w:autoSpaceDN w:val="0"/>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高效能550W铂金1+1 冗余电源</w:t>
            </w:r>
          </w:p>
        </w:tc>
      </w:tr>
      <w:tr>
        <w:tblPrEx>
          <w:tblCellMar>
            <w:top w:w="0" w:type="dxa"/>
            <w:left w:w="30" w:type="dxa"/>
            <w:bottom w:w="0" w:type="dxa"/>
            <w:right w:w="30" w:type="dxa"/>
          </w:tblCellMar>
        </w:tblPrEx>
        <w:trPr>
          <w:trHeight w:val="271" w:hRule="atLeast"/>
          <w:jc w:val="center"/>
        </w:trPr>
        <w:tc>
          <w:tcPr>
            <w:tcW w:w="1152" w:type="pct"/>
            <w:tcBorders>
              <w:top w:val="single" w:color="auto" w:sz="6" w:space="0"/>
              <w:left w:val="single" w:color="auto" w:sz="6" w:space="0"/>
              <w:bottom w:val="single" w:color="auto" w:sz="6" w:space="0"/>
              <w:right w:val="single" w:color="auto" w:sz="6" w:space="0"/>
            </w:tcBorders>
          </w:tcPr>
          <w:p>
            <w:pPr>
              <w:autoSpaceDE w:val="0"/>
              <w:autoSpaceDN w:val="0"/>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规格</w:t>
            </w:r>
          </w:p>
        </w:tc>
        <w:tc>
          <w:tcPr>
            <w:tcW w:w="3847" w:type="pct"/>
            <w:tcBorders>
              <w:top w:val="single" w:color="auto" w:sz="6" w:space="0"/>
              <w:left w:val="single" w:color="auto" w:sz="6" w:space="0"/>
              <w:bottom w:val="single" w:color="auto" w:sz="6" w:space="0"/>
              <w:right w:val="single" w:color="auto" w:sz="6" w:space="0"/>
            </w:tcBorders>
          </w:tcPr>
          <w:p>
            <w:pPr>
              <w:autoSpaceDE w:val="0"/>
              <w:autoSpaceDN w:val="0"/>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2U</w:t>
            </w:r>
          </w:p>
        </w:tc>
      </w:tr>
    </w:tbl>
    <w:p>
      <w:pPr>
        <w:spacing w:after="0"/>
        <w:ind w:firstLine="420" w:firstLineChars="200"/>
        <w:rPr>
          <w:rFonts w:ascii="宋体" w:hAnsi="宋体" w:eastAsia="宋体" w:cs="宋体"/>
          <w:color w:val="auto"/>
          <w:sz w:val="21"/>
          <w:szCs w:val="21"/>
        </w:rPr>
      </w:pPr>
    </w:p>
    <w:p>
      <w:pPr>
        <w:spacing w:before="72" w:beforeLines="20" w:after="72" w:afterLines="20"/>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7.6 卡口大数据服务器</w:t>
      </w:r>
    </w:p>
    <w:tbl>
      <w:tblPr>
        <w:tblStyle w:val="16"/>
        <w:tblW w:w="4998" w:type="pct"/>
        <w:tblInd w:w="0" w:type="dxa"/>
        <w:tblLayout w:type="autofit"/>
        <w:tblCellMar>
          <w:top w:w="0" w:type="dxa"/>
          <w:left w:w="30" w:type="dxa"/>
          <w:bottom w:w="0" w:type="dxa"/>
          <w:right w:w="30" w:type="dxa"/>
        </w:tblCellMar>
      </w:tblPr>
      <w:tblGrid>
        <w:gridCol w:w="1925"/>
        <w:gridCol w:w="6438"/>
      </w:tblGrid>
      <w:tr>
        <w:tblPrEx>
          <w:tblCellMar>
            <w:top w:w="0" w:type="dxa"/>
            <w:left w:w="30" w:type="dxa"/>
            <w:bottom w:w="0" w:type="dxa"/>
            <w:right w:w="30" w:type="dxa"/>
          </w:tblCellMar>
        </w:tblPrEx>
        <w:trPr>
          <w:trHeight w:val="271" w:hRule="atLeast"/>
        </w:trPr>
        <w:tc>
          <w:tcPr>
            <w:tcW w:w="1151" w:type="pct"/>
            <w:tcBorders>
              <w:top w:val="single" w:color="auto" w:sz="6" w:space="0"/>
              <w:left w:val="single" w:color="auto" w:sz="6" w:space="0"/>
              <w:bottom w:val="single" w:color="auto" w:sz="6" w:space="0"/>
              <w:right w:val="single" w:color="auto" w:sz="6" w:space="0"/>
            </w:tcBorders>
          </w:tcPr>
          <w:p>
            <w:pPr>
              <w:autoSpaceDE w:val="0"/>
              <w:autoSpaceDN w:val="0"/>
              <w:spacing w:after="0"/>
              <w:ind w:firstLine="422" w:firstLineChars="200"/>
              <w:jc w:val="center"/>
              <w:rPr>
                <w:rFonts w:ascii="宋体" w:hAnsi="宋体" w:eastAsia="宋体" w:cs="宋体"/>
                <w:b/>
                <w:color w:val="auto"/>
                <w:sz w:val="21"/>
                <w:szCs w:val="21"/>
              </w:rPr>
            </w:pPr>
            <w:r>
              <w:rPr>
                <w:rFonts w:hint="eastAsia" w:ascii="宋体" w:hAnsi="宋体" w:eastAsia="宋体" w:cs="宋体"/>
                <w:b/>
                <w:color w:val="auto"/>
                <w:sz w:val="21"/>
                <w:szCs w:val="21"/>
              </w:rPr>
              <w:t>功能指标</w:t>
            </w:r>
          </w:p>
        </w:tc>
        <w:tc>
          <w:tcPr>
            <w:tcW w:w="3848" w:type="pct"/>
            <w:tcBorders>
              <w:top w:val="single" w:color="auto" w:sz="6" w:space="0"/>
              <w:left w:val="single" w:color="auto" w:sz="6" w:space="0"/>
              <w:bottom w:val="single" w:color="auto" w:sz="6" w:space="0"/>
              <w:right w:val="single" w:color="auto" w:sz="6" w:space="0"/>
            </w:tcBorders>
          </w:tcPr>
          <w:p>
            <w:pPr>
              <w:autoSpaceDE w:val="0"/>
              <w:autoSpaceDN w:val="0"/>
              <w:spacing w:after="0"/>
              <w:ind w:firstLine="422" w:firstLineChars="200"/>
              <w:jc w:val="center"/>
              <w:rPr>
                <w:rFonts w:ascii="宋体" w:hAnsi="宋体" w:eastAsia="宋体" w:cs="宋体"/>
                <w:b/>
                <w:color w:val="auto"/>
                <w:sz w:val="21"/>
                <w:szCs w:val="21"/>
              </w:rPr>
            </w:pPr>
            <w:r>
              <w:rPr>
                <w:rFonts w:hint="eastAsia" w:ascii="宋体" w:hAnsi="宋体" w:eastAsia="宋体" w:cs="宋体"/>
                <w:b/>
                <w:color w:val="auto"/>
                <w:sz w:val="21"/>
                <w:szCs w:val="21"/>
              </w:rPr>
              <w:t>技术规格要求</w:t>
            </w:r>
          </w:p>
        </w:tc>
      </w:tr>
      <w:tr>
        <w:tblPrEx>
          <w:tblCellMar>
            <w:top w:w="0" w:type="dxa"/>
            <w:left w:w="30" w:type="dxa"/>
            <w:bottom w:w="0" w:type="dxa"/>
            <w:right w:w="30" w:type="dxa"/>
          </w:tblCellMar>
        </w:tblPrEx>
        <w:trPr>
          <w:trHeight w:val="271" w:hRule="atLeast"/>
        </w:trPr>
        <w:tc>
          <w:tcPr>
            <w:tcW w:w="1151" w:type="pct"/>
            <w:tcBorders>
              <w:top w:val="single" w:color="auto" w:sz="6" w:space="0"/>
              <w:left w:val="single" w:color="auto" w:sz="6" w:space="0"/>
              <w:bottom w:val="single" w:color="auto" w:sz="6" w:space="0"/>
              <w:right w:val="single" w:color="auto" w:sz="6" w:space="0"/>
            </w:tcBorders>
          </w:tcPr>
          <w:p>
            <w:pPr>
              <w:autoSpaceDE w:val="0"/>
              <w:autoSpaceDN w:val="0"/>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CPU</w:t>
            </w:r>
          </w:p>
        </w:tc>
        <w:tc>
          <w:tcPr>
            <w:tcW w:w="3848" w:type="pct"/>
            <w:tcBorders>
              <w:top w:val="single" w:color="auto" w:sz="6" w:space="0"/>
              <w:left w:val="single" w:color="auto" w:sz="6" w:space="0"/>
              <w:bottom w:val="single" w:color="auto" w:sz="6" w:space="0"/>
              <w:right w:val="single" w:color="auto" w:sz="6" w:space="0"/>
            </w:tcBorders>
          </w:tcPr>
          <w:p>
            <w:pPr>
              <w:autoSpaceDE w:val="0"/>
              <w:autoSpaceDN w:val="0"/>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相当于4114(10核2.2GHz)×2</w:t>
            </w:r>
          </w:p>
        </w:tc>
      </w:tr>
      <w:tr>
        <w:tblPrEx>
          <w:tblCellMar>
            <w:top w:w="0" w:type="dxa"/>
            <w:left w:w="30" w:type="dxa"/>
            <w:bottom w:w="0" w:type="dxa"/>
            <w:right w:w="30" w:type="dxa"/>
          </w:tblCellMar>
        </w:tblPrEx>
        <w:trPr>
          <w:trHeight w:val="271" w:hRule="atLeast"/>
        </w:trPr>
        <w:tc>
          <w:tcPr>
            <w:tcW w:w="1151" w:type="pct"/>
            <w:tcBorders>
              <w:top w:val="single" w:color="auto" w:sz="6" w:space="0"/>
              <w:left w:val="single" w:color="auto" w:sz="6" w:space="0"/>
              <w:bottom w:val="single" w:color="auto" w:sz="6" w:space="0"/>
              <w:right w:val="single" w:color="auto" w:sz="6" w:space="0"/>
            </w:tcBorders>
          </w:tcPr>
          <w:p>
            <w:pPr>
              <w:autoSpaceDE w:val="0"/>
              <w:autoSpaceDN w:val="0"/>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内存</w:t>
            </w:r>
          </w:p>
        </w:tc>
        <w:tc>
          <w:tcPr>
            <w:tcW w:w="3848" w:type="pct"/>
            <w:tcBorders>
              <w:top w:val="single" w:color="auto" w:sz="6" w:space="0"/>
              <w:left w:val="single" w:color="auto" w:sz="6" w:space="0"/>
              <w:bottom w:val="single" w:color="auto" w:sz="6" w:space="0"/>
              <w:right w:val="single" w:color="auto" w:sz="6" w:space="0"/>
            </w:tcBorders>
          </w:tcPr>
          <w:p>
            <w:pPr>
              <w:autoSpaceDE w:val="0"/>
              <w:autoSpaceDN w:val="0"/>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不低于128GB DDR4</w:t>
            </w:r>
          </w:p>
        </w:tc>
      </w:tr>
      <w:tr>
        <w:tblPrEx>
          <w:tblCellMar>
            <w:top w:w="0" w:type="dxa"/>
            <w:left w:w="30" w:type="dxa"/>
            <w:bottom w:w="0" w:type="dxa"/>
            <w:right w:w="30" w:type="dxa"/>
          </w:tblCellMar>
        </w:tblPrEx>
        <w:trPr>
          <w:trHeight w:val="271" w:hRule="atLeast"/>
        </w:trPr>
        <w:tc>
          <w:tcPr>
            <w:tcW w:w="1151" w:type="pct"/>
            <w:tcBorders>
              <w:top w:val="single" w:color="auto" w:sz="6" w:space="0"/>
              <w:left w:val="single" w:color="auto" w:sz="6" w:space="0"/>
              <w:bottom w:val="single" w:color="auto" w:sz="6" w:space="0"/>
              <w:right w:val="single" w:color="auto" w:sz="6" w:space="0"/>
            </w:tcBorders>
          </w:tcPr>
          <w:p>
            <w:pPr>
              <w:autoSpaceDE w:val="0"/>
              <w:autoSpaceDN w:val="0"/>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硬盘</w:t>
            </w:r>
          </w:p>
        </w:tc>
        <w:tc>
          <w:tcPr>
            <w:tcW w:w="3848" w:type="pct"/>
            <w:tcBorders>
              <w:top w:val="single" w:color="auto" w:sz="6" w:space="0"/>
              <w:left w:val="single" w:color="auto" w:sz="6" w:space="0"/>
              <w:bottom w:val="single" w:color="auto" w:sz="6" w:space="0"/>
              <w:right w:val="single" w:color="auto" w:sz="6" w:space="0"/>
            </w:tcBorders>
          </w:tcPr>
          <w:p>
            <w:pPr>
              <w:autoSpaceDE w:val="0"/>
              <w:autoSpaceDN w:val="0"/>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480G SSD×6</w:t>
            </w:r>
          </w:p>
        </w:tc>
      </w:tr>
      <w:tr>
        <w:tblPrEx>
          <w:tblCellMar>
            <w:top w:w="0" w:type="dxa"/>
            <w:left w:w="30" w:type="dxa"/>
            <w:bottom w:w="0" w:type="dxa"/>
            <w:right w:w="30" w:type="dxa"/>
          </w:tblCellMar>
        </w:tblPrEx>
        <w:trPr>
          <w:trHeight w:val="271" w:hRule="atLeast"/>
        </w:trPr>
        <w:tc>
          <w:tcPr>
            <w:tcW w:w="1151" w:type="pct"/>
            <w:tcBorders>
              <w:top w:val="single" w:color="auto" w:sz="6" w:space="0"/>
              <w:left w:val="single" w:color="auto" w:sz="6" w:space="0"/>
              <w:bottom w:val="single" w:color="auto" w:sz="6" w:space="0"/>
              <w:right w:val="single" w:color="auto" w:sz="6" w:space="0"/>
            </w:tcBorders>
          </w:tcPr>
          <w:p>
            <w:pPr>
              <w:autoSpaceDE w:val="0"/>
              <w:autoSpaceDN w:val="0"/>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网络接口</w:t>
            </w:r>
          </w:p>
        </w:tc>
        <w:tc>
          <w:tcPr>
            <w:tcW w:w="3848" w:type="pct"/>
            <w:tcBorders>
              <w:top w:val="single" w:color="auto" w:sz="6" w:space="0"/>
              <w:left w:val="single" w:color="auto" w:sz="6" w:space="0"/>
              <w:bottom w:val="single" w:color="auto" w:sz="6" w:space="0"/>
              <w:right w:val="single" w:color="auto" w:sz="6" w:space="0"/>
            </w:tcBorders>
          </w:tcPr>
          <w:p>
            <w:pPr>
              <w:autoSpaceDE w:val="0"/>
              <w:autoSpaceDN w:val="0"/>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不低于10GbE×2+1GbE×2</w:t>
            </w:r>
          </w:p>
        </w:tc>
      </w:tr>
      <w:tr>
        <w:tblPrEx>
          <w:tblCellMar>
            <w:top w:w="0" w:type="dxa"/>
            <w:left w:w="30" w:type="dxa"/>
            <w:bottom w:w="0" w:type="dxa"/>
            <w:right w:w="30" w:type="dxa"/>
          </w:tblCellMar>
        </w:tblPrEx>
        <w:trPr>
          <w:trHeight w:val="271" w:hRule="atLeast"/>
        </w:trPr>
        <w:tc>
          <w:tcPr>
            <w:tcW w:w="1151" w:type="pct"/>
            <w:tcBorders>
              <w:top w:val="single" w:color="auto" w:sz="6" w:space="0"/>
              <w:left w:val="single" w:color="auto" w:sz="6" w:space="0"/>
              <w:bottom w:val="single" w:color="auto" w:sz="6" w:space="0"/>
              <w:right w:val="single" w:color="auto" w:sz="6" w:space="0"/>
            </w:tcBorders>
          </w:tcPr>
          <w:p>
            <w:pPr>
              <w:autoSpaceDE w:val="0"/>
              <w:autoSpaceDN w:val="0"/>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电源</w:t>
            </w:r>
          </w:p>
        </w:tc>
        <w:tc>
          <w:tcPr>
            <w:tcW w:w="3848" w:type="pct"/>
            <w:tcBorders>
              <w:top w:val="single" w:color="auto" w:sz="6" w:space="0"/>
              <w:left w:val="single" w:color="auto" w:sz="6" w:space="0"/>
              <w:bottom w:val="single" w:color="auto" w:sz="6" w:space="0"/>
              <w:right w:val="single" w:color="auto" w:sz="6" w:space="0"/>
            </w:tcBorders>
          </w:tcPr>
          <w:p>
            <w:pPr>
              <w:autoSpaceDE w:val="0"/>
              <w:autoSpaceDN w:val="0"/>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高效能550W铂金1+1 冗余电源</w:t>
            </w:r>
          </w:p>
        </w:tc>
      </w:tr>
      <w:tr>
        <w:tblPrEx>
          <w:tblCellMar>
            <w:top w:w="0" w:type="dxa"/>
            <w:left w:w="30" w:type="dxa"/>
            <w:bottom w:w="0" w:type="dxa"/>
            <w:right w:w="30" w:type="dxa"/>
          </w:tblCellMar>
        </w:tblPrEx>
        <w:trPr>
          <w:trHeight w:val="271" w:hRule="atLeast"/>
        </w:trPr>
        <w:tc>
          <w:tcPr>
            <w:tcW w:w="1151" w:type="pct"/>
            <w:tcBorders>
              <w:top w:val="single" w:color="auto" w:sz="6" w:space="0"/>
              <w:left w:val="single" w:color="auto" w:sz="6" w:space="0"/>
              <w:bottom w:val="single" w:color="auto" w:sz="6" w:space="0"/>
              <w:right w:val="single" w:color="auto" w:sz="6" w:space="0"/>
            </w:tcBorders>
          </w:tcPr>
          <w:p>
            <w:pPr>
              <w:autoSpaceDE w:val="0"/>
              <w:autoSpaceDN w:val="0"/>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规格</w:t>
            </w:r>
          </w:p>
        </w:tc>
        <w:tc>
          <w:tcPr>
            <w:tcW w:w="3848" w:type="pct"/>
            <w:tcBorders>
              <w:top w:val="single" w:color="auto" w:sz="6" w:space="0"/>
              <w:left w:val="single" w:color="auto" w:sz="6" w:space="0"/>
              <w:bottom w:val="single" w:color="auto" w:sz="6" w:space="0"/>
              <w:right w:val="single" w:color="auto" w:sz="6" w:space="0"/>
            </w:tcBorders>
          </w:tcPr>
          <w:p>
            <w:pPr>
              <w:autoSpaceDE w:val="0"/>
              <w:autoSpaceDN w:val="0"/>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2U</w:t>
            </w:r>
          </w:p>
        </w:tc>
      </w:tr>
      <w:tr>
        <w:tblPrEx>
          <w:tblCellMar>
            <w:top w:w="0" w:type="dxa"/>
            <w:left w:w="30" w:type="dxa"/>
            <w:bottom w:w="0" w:type="dxa"/>
            <w:right w:w="30" w:type="dxa"/>
          </w:tblCellMar>
        </w:tblPrEx>
        <w:trPr>
          <w:trHeight w:val="271" w:hRule="atLeast"/>
        </w:trPr>
        <w:tc>
          <w:tcPr>
            <w:tcW w:w="1151" w:type="pct"/>
            <w:tcBorders>
              <w:top w:val="single" w:color="auto" w:sz="6" w:space="0"/>
              <w:left w:val="single" w:color="auto" w:sz="6" w:space="0"/>
              <w:bottom w:val="single" w:color="auto" w:sz="6" w:space="0"/>
              <w:right w:val="single" w:color="auto" w:sz="6" w:space="0"/>
            </w:tcBorders>
          </w:tcPr>
          <w:p>
            <w:pPr>
              <w:autoSpaceDE w:val="0"/>
              <w:autoSpaceDN w:val="0"/>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处理能力</w:t>
            </w:r>
          </w:p>
        </w:tc>
        <w:tc>
          <w:tcPr>
            <w:tcW w:w="3848" w:type="pct"/>
            <w:tcBorders>
              <w:top w:val="single" w:color="auto" w:sz="6" w:space="0"/>
              <w:left w:val="single" w:color="auto" w:sz="6" w:space="0"/>
              <w:bottom w:val="single" w:color="auto" w:sz="6" w:space="0"/>
              <w:right w:val="single" w:color="auto" w:sz="6" w:space="0"/>
            </w:tcBorders>
          </w:tcPr>
          <w:p>
            <w:pPr>
              <w:autoSpaceDE w:val="0"/>
              <w:autoSpaceDN w:val="0"/>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支持存储20亿结构化数据、日增数据300万</w:t>
            </w:r>
          </w:p>
        </w:tc>
      </w:tr>
    </w:tbl>
    <w:p>
      <w:pPr>
        <w:spacing w:after="0"/>
        <w:ind w:firstLine="420" w:firstLineChars="200"/>
        <w:rPr>
          <w:rFonts w:ascii="宋体" w:hAnsi="宋体" w:eastAsia="宋体" w:cs="宋体"/>
          <w:color w:val="auto"/>
          <w:sz w:val="21"/>
          <w:szCs w:val="21"/>
        </w:rPr>
      </w:pPr>
    </w:p>
    <w:p>
      <w:pPr>
        <w:spacing w:after="0"/>
        <w:ind w:firstLine="420" w:firstLineChars="200"/>
        <w:rPr>
          <w:rFonts w:ascii="宋体" w:hAnsi="宋体" w:eastAsia="宋体" w:cs="宋体"/>
          <w:color w:val="auto"/>
          <w:sz w:val="21"/>
          <w:szCs w:val="21"/>
        </w:rPr>
      </w:pPr>
    </w:p>
    <w:p>
      <w:pPr>
        <w:spacing w:before="72" w:beforeLines="20" w:after="72" w:afterLines="20"/>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7.7 ●万兆核心交换机</w:t>
      </w:r>
    </w:p>
    <w:p>
      <w:pPr>
        <w:spacing w:after="0"/>
        <w:ind w:firstLine="420" w:firstLineChars="200"/>
        <w:rPr>
          <w:rFonts w:ascii="宋体" w:hAnsi="宋体" w:eastAsia="宋体" w:cs="宋体"/>
          <w:color w:val="auto"/>
          <w:sz w:val="21"/>
          <w:szCs w:val="21"/>
        </w:rPr>
      </w:pPr>
    </w:p>
    <w:tbl>
      <w:tblPr>
        <w:tblStyle w:val="16"/>
        <w:tblW w:w="8647" w:type="dxa"/>
        <w:tblInd w:w="250" w:type="dxa"/>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371"/>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276" w:type="dxa"/>
            <w:noWrap/>
            <w:vAlign w:val="center"/>
          </w:tcPr>
          <w:p>
            <w:pPr>
              <w:spacing w:before="36" w:beforeLines="10" w:after="36" w:afterLines="10"/>
              <w:jc w:val="center"/>
              <w:rPr>
                <w:rFonts w:ascii="宋体" w:hAnsi="宋体" w:eastAsia="宋体" w:cs="宋体"/>
                <w:b/>
                <w:color w:val="auto"/>
                <w:sz w:val="21"/>
                <w:szCs w:val="21"/>
              </w:rPr>
            </w:pPr>
            <w:r>
              <w:rPr>
                <w:rFonts w:hint="eastAsia" w:ascii="宋体" w:hAnsi="宋体" w:eastAsia="宋体" w:cs="宋体"/>
                <w:b/>
                <w:color w:val="auto"/>
                <w:sz w:val="21"/>
                <w:szCs w:val="21"/>
              </w:rPr>
              <w:t>功能类别</w:t>
            </w:r>
          </w:p>
        </w:tc>
        <w:tc>
          <w:tcPr>
            <w:tcW w:w="7371" w:type="dxa"/>
            <w:noWrap/>
            <w:vAlign w:val="center"/>
          </w:tcPr>
          <w:p>
            <w:pPr>
              <w:spacing w:before="36" w:beforeLines="10" w:after="36" w:afterLines="10"/>
              <w:jc w:val="center"/>
              <w:rPr>
                <w:rFonts w:ascii="宋体" w:hAnsi="宋体" w:eastAsia="宋体" w:cs="宋体"/>
                <w:b/>
                <w:color w:val="auto"/>
                <w:sz w:val="21"/>
                <w:szCs w:val="21"/>
              </w:rPr>
            </w:pPr>
            <w:r>
              <w:rPr>
                <w:rFonts w:hint="eastAsia" w:ascii="宋体" w:hAnsi="宋体" w:eastAsia="宋体" w:cs="宋体"/>
                <w:b/>
                <w:color w:val="auto"/>
                <w:sz w:val="21"/>
                <w:szCs w:val="21"/>
              </w:rPr>
              <w:t>技术要求及指标</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6" w:type="dxa"/>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基础性能</w:t>
            </w:r>
          </w:p>
        </w:tc>
        <w:tc>
          <w:tcPr>
            <w:tcW w:w="7371" w:type="dxa"/>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交换容量（最小参数）≥50Tbps，包转发率（最小参数）≥7200Mpps；</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主控引擎与交换网板物理分离；</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主控引擎槽位数≥2；独立交换网板槽位数≥4；整机业务板槽位数≥8；</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实际配置：</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总机箱一台、双主控、独立交换网板*3、3000W电源*2、基本软件一套、IPv6功能授权；</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业务端口配置：千兆以太网电接口≥48，千兆以太网光口≥16，万兆以太网光口≥16；</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虚拟化配置：万兆光口≥24；SFP+ -10G高速电缆*12根；</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6" w:type="dxa"/>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▲硬件要求</w:t>
            </w:r>
          </w:p>
        </w:tc>
        <w:tc>
          <w:tcPr>
            <w:tcW w:w="7371" w:type="dxa"/>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为保证设备散热效果和可靠性，要求设备支持模块化风扇模块，可热插拔，当单个风扇模块发生故障时，有其他风扇正常运行，保证设备散热，独立风扇模块≥3（提供设备截图证明）；</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支持独立的硬件监控板卡, 控制平面和监控平面物理槽位分离，支持1+1备份，能集中监控板卡、风扇、电源、环境，能调节能耗，提供设备截图证明；</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6" w:type="dxa"/>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▲虚拟化技术</w:t>
            </w:r>
          </w:p>
        </w:tc>
        <w:tc>
          <w:tcPr>
            <w:tcW w:w="7371" w:type="dxa"/>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xml:space="preserve">支持交换网硬件背靠背的集群，不占用业务槽位；支持单主控集群, 两框只要有一块主控板工作，设备就能正常运行，不会造成集群分裂； </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支持纵向虚拟化技术，能够将不同网络层的设备（包括AP）虚拟为一个网元进行管理（提供权威的第三方测试报告证明）；</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6" w:type="dxa"/>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二层功能</w:t>
            </w:r>
          </w:p>
        </w:tc>
        <w:tc>
          <w:tcPr>
            <w:tcW w:w="7371" w:type="dxa"/>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支持IEEE 802.1d(STP)、 802.1w(RSTP)、 802.1s(MSTP)；支持VLAN内端口隔离；支持1:1、 N:1、1:N端口镜像，支持流镜像，支持远程端口镜像（RSPAN）；支持DHCP Client、DHCP Server、DHCP Relay；</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PrEx>
        <w:trPr>
          <w:trHeight w:val="90" w:hRule="atLeast"/>
        </w:trPr>
        <w:tc>
          <w:tcPr>
            <w:tcW w:w="1276" w:type="dxa"/>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IP路由</w:t>
            </w:r>
          </w:p>
        </w:tc>
        <w:tc>
          <w:tcPr>
            <w:tcW w:w="7371" w:type="dxa"/>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支持静态路由、RIP、RIPng、OSPF、OSPFv3、BGP、BGP4+、ISIS、ISISv6；支持路由协议多实例；支持GR for OSPF/IS-IS/BGP；支持策略路由；</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6" w:type="dxa"/>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▲MPLS</w:t>
            </w:r>
          </w:p>
        </w:tc>
        <w:tc>
          <w:tcPr>
            <w:tcW w:w="7371" w:type="dxa"/>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支持MPLS L3VPN、MPLS L2VPN(VPLS，VLL)、MPLS-TE、MPLS QoS；</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MPLS标签容量：32,000个MPLS标签/LSP（提供权威的第三方测试报告证明）；</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PrEx>
        <w:trPr>
          <w:trHeight w:val="90" w:hRule="atLeast"/>
        </w:trPr>
        <w:tc>
          <w:tcPr>
            <w:tcW w:w="1276" w:type="dxa"/>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数据中心特性</w:t>
            </w:r>
          </w:p>
        </w:tc>
        <w:tc>
          <w:tcPr>
            <w:tcW w:w="7371" w:type="dxa"/>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1台物理交换机可虚拟化为16个虚拟系统；支持多链接透明互联（TRILL）；支持Overlay网络硬件网关—VXLAN；</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6" w:type="dxa"/>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▲可靠性</w:t>
            </w:r>
          </w:p>
        </w:tc>
        <w:tc>
          <w:tcPr>
            <w:tcW w:w="7371" w:type="dxa"/>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支持真实业务流的实时检测技术，使用实际业务包进行设备级、链路级和网络级丢包监控（提供权威的第三方测试报告证明）；支持硬件BFD/OAM，3.3ms稳定均匀发包检测，提高设备的可靠性；</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6" w:type="dxa"/>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组播协议</w:t>
            </w:r>
          </w:p>
        </w:tc>
        <w:tc>
          <w:tcPr>
            <w:tcW w:w="7371" w:type="dxa"/>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xml:space="preserve">支持IGMPv1/v2/v3、IGMP v1/v2/v3 Snooping；支持 PIM DM、PIM SM、PIM SSM；支持MSDP、MBGP；  支持用户快速离开机制；  支持组播流量控制；  支持组播查询器；  </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6" w:type="dxa"/>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QoS</w:t>
            </w:r>
          </w:p>
        </w:tc>
        <w:tc>
          <w:tcPr>
            <w:tcW w:w="7371" w:type="dxa"/>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支持PQ、WRR、DRR、PQ+WRR、PQ+DRR等调度方式；支持双向CAR、广播风暴抑制功能；支持WRED；交换机每端口支持200ms大缓存；支持5级H-QoS；</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PrEx>
        <w:trPr>
          <w:trHeight w:val="90" w:hRule="atLeast"/>
        </w:trPr>
        <w:tc>
          <w:tcPr>
            <w:tcW w:w="1276" w:type="dxa"/>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管理特性</w:t>
            </w:r>
          </w:p>
        </w:tc>
        <w:tc>
          <w:tcPr>
            <w:tcW w:w="7371" w:type="dxa"/>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支持SNMP V1/V2/V3、Telnet、RMON、SSHV2；支持通过命令行、中文图形化配置软件等方式进行配置和管理；支持热补丁 ISSU；支持WEB网管；</w:t>
            </w:r>
          </w:p>
        </w:tc>
      </w:tr>
    </w:tbl>
    <w:p>
      <w:pPr>
        <w:pStyle w:val="44"/>
        <w:spacing w:after="0" w:line="240" w:lineRule="auto"/>
        <w:ind w:firstLine="420"/>
        <w:rPr>
          <w:rFonts w:eastAsia="宋体" w:cs="宋体"/>
          <w:color w:val="auto"/>
          <w:sz w:val="21"/>
          <w:szCs w:val="21"/>
        </w:rPr>
      </w:pPr>
    </w:p>
    <w:p>
      <w:pPr>
        <w:rPr>
          <w:rFonts w:ascii="宋体" w:hAnsi="宋体" w:eastAsia="宋体" w:cs="宋体"/>
          <w:b/>
          <w:bCs/>
          <w:color w:val="auto"/>
          <w:sz w:val="21"/>
          <w:szCs w:val="21"/>
        </w:rPr>
      </w:pPr>
      <w:r>
        <w:rPr>
          <w:rFonts w:hint="eastAsia" w:ascii="宋体" w:hAnsi="宋体" w:eastAsia="宋体" w:cs="宋体"/>
          <w:b/>
          <w:bCs/>
          <w:color w:val="auto"/>
          <w:sz w:val="21"/>
          <w:szCs w:val="21"/>
        </w:rPr>
        <w:br w:type="page"/>
      </w:r>
    </w:p>
    <w:p>
      <w:pPr>
        <w:spacing w:before="72" w:beforeLines="20" w:after="72" w:afterLines="20"/>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7.8 万兆汇聚交换机</w:t>
      </w:r>
    </w:p>
    <w:p>
      <w:pPr>
        <w:pStyle w:val="2"/>
        <w:rPr>
          <w:color w:val="auto"/>
        </w:rPr>
      </w:pPr>
    </w:p>
    <w:tbl>
      <w:tblPr>
        <w:tblStyle w:val="16"/>
        <w:tblW w:w="4999" w:type="pct"/>
        <w:tblInd w:w="0" w:type="dxa"/>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7157"/>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PrEx>
        <w:trPr>
          <w:trHeight w:val="259" w:hRule="atLeast"/>
        </w:trPr>
        <w:tc>
          <w:tcPr>
            <w:tcW w:w="800" w:type="pct"/>
            <w:noWrap/>
            <w:vAlign w:val="center"/>
          </w:tcPr>
          <w:p>
            <w:pPr>
              <w:spacing w:before="36" w:beforeLines="10" w:after="36" w:afterLines="10"/>
              <w:jc w:val="center"/>
              <w:rPr>
                <w:rFonts w:ascii="宋体" w:hAnsi="宋体" w:eastAsia="宋体" w:cs="宋体"/>
                <w:b/>
                <w:color w:val="auto"/>
                <w:sz w:val="21"/>
                <w:szCs w:val="21"/>
              </w:rPr>
            </w:pPr>
            <w:r>
              <w:rPr>
                <w:rFonts w:hint="eastAsia" w:ascii="宋体" w:hAnsi="宋体" w:eastAsia="宋体" w:cs="宋体"/>
                <w:b/>
                <w:color w:val="auto"/>
                <w:sz w:val="21"/>
                <w:szCs w:val="21"/>
              </w:rPr>
              <w:t>功能类别</w:t>
            </w:r>
          </w:p>
        </w:tc>
        <w:tc>
          <w:tcPr>
            <w:tcW w:w="4199" w:type="pct"/>
            <w:noWrap/>
            <w:vAlign w:val="center"/>
          </w:tcPr>
          <w:p>
            <w:pPr>
              <w:spacing w:before="36" w:beforeLines="10" w:after="36" w:afterLines="10"/>
              <w:jc w:val="center"/>
              <w:rPr>
                <w:rFonts w:ascii="宋体" w:hAnsi="宋体" w:eastAsia="宋体" w:cs="宋体"/>
                <w:b/>
                <w:color w:val="auto"/>
                <w:sz w:val="21"/>
                <w:szCs w:val="21"/>
              </w:rPr>
            </w:pPr>
            <w:r>
              <w:rPr>
                <w:rFonts w:hint="eastAsia" w:ascii="宋体" w:hAnsi="宋体" w:eastAsia="宋体" w:cs="宋体"/>
                <w:b/>
                <w:color w:val="auto"/>
                <w:sz w:val="21"/>
                <w:szCs w:val="21"/>
              </w:rPr>
              <w:t>技术要求及指标</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pct"/>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基础性能</w:t>
            </w:r>
          </w:p>
        </w:tc>
        <w:tc>
          <w:tcPr>
            <w:tcW w:w="4199" w:type="pct"/>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交换容量（最小参数）≥590Gbps，包转发率（最小参数）≥220Mpps；</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提供千兆电口≥28个，千兆Combo接口≥4，万兆光口≥4个；</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支持1个扩展插槽，可扩展支持业务插卡；</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800" w:type="pct"/>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二层功能</w:t>
            </w:r>
          </w:p>
        </w:tc>
        <w:tc>
          <w:tcPr>
            <w:tcW w:w="419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支持4K个VLAN；</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支持Guest VLAN、Voice VLAN；</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支持MUX VLAN功能或类似技术；</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支持STP(IEEE 802.1d)，RSTP(IEEE 802.1w)和MSTP(IEEE 802.1s)协议；</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00" w:type="pct"/>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三层功能</w:t>
            </w:r>
          </w:p>
        </w:tc>
        <w:tc>
          <w:tcPr>
            <w:tcW w:w="419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支持静态路由、RIP、RIPng、OSPF、OSPFv3、BGP、BGP4+、ISIS、ISISv6；</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支持基于源IPv6地址、目的IPv6地址、四层端口、协议类型等ACL；</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00" w:type="pct"/>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▲MPLS</w:t>
            </w:r>
          </w:p>
        </w:tc>
        <w:tc>
          <w:tcPr>
            <w:tcW w:w="419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支持MPLS L2VPN (VLL和VPLS)、L3VPN、以及流量工程（TE），（提供权威的第三方测试报告证明）；</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00" w:type="pct"/>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QoS</w:t>
            </w:r>
          </w:p>
        </w:tc>
        <w:tc>
          <w:tcPr>
            <w:tcW w:w="419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支持对端口入方向、出方向进行速率限制；</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支持报文的802.1p和DSCP优先级重新标记；</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支持基于队列限速和端口整形功能；</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800" w:type="pct"/>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安全功能</w:t>
            </w:r>
          </w:p>
        </w:tc>
        <w:tc>
          <w:tcPr>
            <w:tcW w:w="419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支持防止DOS、ARP攻击功能、ICMP防攻击；</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支持IP、MAC、端口、VLAN的组合绑定；</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支持黑洞MAC地址；</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00" w:type="pct"/>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▲CPU保护</w:t>
            </w:r>
          </w:p>
        </w:tc>
        <w:tc>
          <w:tcPr>
            <w:tcW w:w="419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支持CPU防攻击功能，（提供权威的第三方测试报告证明）；</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00" w:type="pct"/>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镜像功能</w:t>
            </w:r>
          </w:p>
        </w:tc>
        <w:tc>
          <w:tcPr>
            <w:tcW w:w="419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支持多个物理端口的流量镜像到一个端口；</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支持流镜像；</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支持远程端口镜像（RSPAN）；</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00" w:type="pct"/>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▲可靠性</w:t>
            </w:r>
          </w:p>
        </w:tc>
        <w:tc>
          <w:tcPr>
            <w:tcW w:w="419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支持多个实例的以太网环保护（ERPS）技术，（提供权威的第三方测试报告证明）；</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00" w:type="pct"/>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虚拟化</w:t>
            </w:r>
          </w:p>
        </w:tc>
        <w:tc>
          <w:tcPr>
            <w:tcW w:w="419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支持堆叠，主机堆叠数不小于9台；</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支持纵向虚拟化，作为纵向子节点零配置即插即用；</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纵向虚拟化的子节点交换机支持堆叠；</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00" w:type="pct"/>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管理维护</w:t>
            </w:r>
          </w:p>
        </w:tc>
        <w:tc>
          <w:tcPr>
            <w:tcW w:w="419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支持SNMPv1/v2/v3；</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支持网管系统、支持WEB网管特性；</w:t>
            </w:r>
          </w:p>
        </w:tc>
      </w:tr>
    </w:tbl>
    <w:p>
      <w:pPr>
        <w:spacing w:after="0"/>
        <w:ind w:firstLine="420" w:firstLineChars="200"/>
        <w:rPr>
          <w:rFonts w:ascii="宋体" w:hAnsi="宋体" w:eastAsia="宋体" w:cs="宋体"/>
          <w:color w:val="auto"/>
          <w:sz w:val="21"/>
          <w:szCs w:val="21"/>
        </w:rPr>
      </w:pPr>
    </w:p>
    <w:p>
      <w:pPr>
        <w:spacing w:after="0"/>
        <w:ind w:firstLine="420" w:firstLineChars="200"/>
        <w:rPr>
          <w:rFonts w:ascii="宋体" w:hAnsi="宋体" w:eastAsia="宋体" w:cs="宋体"/>
          <w:color w:val="auto"/>
          <w:sz w:val="21"/>
          <w:szCs w:val="21"/>
        </w:rPr>
      </w:pPr>
    </w:p>
    <w:p>
      <w:pPr>
        <w:spacing w:before="72" w:beforeLines="20" w:after="72" w:afterLines="20"/>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7.9 防火墙</w:t>
      </w:r>
    </w:p>
    <w:p>
      <w:pPr>
        <w:spacing w:after="0"/>
        <w:ind w:firstLine="420" w:firstLineChars="200"/>
        <w:rPr>
          <w:rFonts w:ascii="宋体" w:hAnsi="宋体" w:eastAsia="宋体" w:cs="宋体"/>
          <w:color w:val="auto"/>
          <w:sz w:val="21"/>
          <w:szCs w:val="21"/>
        </w:rPr>
      </w:pPr>
    </w:p>
    <w:tbl>
      <w:tblPr>
        <w:tblStyle w:val="16"/>
        <w:tblW w:w="4999" w:type="pct"/>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741"/>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00" w:type="pct"/>
            <w:noWrap/>
            <w:vAlign w:val="center"/>
          </w:tcPr>
          <w:p>
            <w:pPr>
              <w:spacing w:before="36" w:beforeLines="10" w:after="36" w:afterLines="10"/>
              <w:jc w:val="center"/>
              <w:rPr>
                <w:rFonts w:ascii="宋体" w:hAnsi="宋体" w:eastAsia="宋体" w:cs="宋体"/>
                <w:b/>
                <w:color w:val="auto"/>
                <w:sz w:val="21"/>
                <w:szCs w:val="21"/>
              </w:rPr>
            </w:pPr>
            <w:r>
              <w:rPr>
                <w:rFonts w:hint="eastAsia" w:ascii="宋体" w:hAnsi="宋体" w:eastAsia="宋体" w:cs="宋体"/>
                <w:b/>
                <w:color w:val="auto"/>
                <w:sz w:val="21"/>
                <w:szCs w:val="21"/>
              </w:rPr>
              <w:t>功能类别</w:t>
            </w:r>
          </w:p>
        </w:tc>
        <w:tc>
          <w:tcPr>
            <w:tcW w:w="4199" w:type="pct"/>
            <w:noWrap/>
            <w:vAlign w:val="center"/>
          </w:tcPr>
          <w:p>
            <w:pPr>
              <w:spacing w:before="36" w:beforeLines="10" w:after="36" w:afterLines="10"/>
              <w:jc w:val="center"/>
              <w:rPr>
                <w:rFonts w:ascii="宋体" w:hAnsi="宋体" w:eastAsia="宋体" w:cs="宋体"/>
                <w:b/>
                <w:color w:val="auto"/>
                <w:sz w:val="21"/>
                <w:szCs w:val="21"/>
              </w:rPr>
            </w:pPr>
            <w:r>
              <w:rPr>
                <w:rFonts w:hint="eastAsia" w:ascii="宋体" w:hAnsi="宋体" w:eastAsia="宋体" w:cs="宋体"/>
                <w:b/>
                <w:color w:val="auto"/>
                <w:sz w:val="21"/>
                <w:szCs w:val="21"/>
              </w:rPr>
              <w:t>技术要求及指标</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pct"/>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基础性能</w:t>
            </w:r>
          </w:p>
        </w:tc>
        <w:tc>
          <w:tcPr>
            <w:tcW w:w="4199" w:type="pct"/>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千兆Combo接口≥8，万兆光口≥2，千兆WAN口≥2，吞吐量≥8Gbps，最大并发连接数≥400万，每秒新建连接数≥8万；</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00" w:type="pct"/>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▲策略管控</w:t>
            </w:r>
          </w:p>
        </w:tc>
        <w:tc>
          <w:tcPr>
            <w:tcW w:w="419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能够基于时间、用户/用户组/安全组、应用层协议、地理位置、IP地址、端口、域名组、URL分类、接入类型、终端类型、设备组、内容安全统一界面进行安全策略配置，（提供设备功能截图证明）；</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800" w:type="pct"/>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路由功能</w:t>
            </w:r>
          </w:p>
        </w:tc>
        <w:tc>
          <w:tcPr>
            <w:tcW w:w="419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支持静态路由、策略路由、RIP、OSPF、BGP、ISIS等路由协议；</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策略路由支持的匹配条件：源IP/目的IP，服务类型，应用类型，用户(组)，入接口，DSCP优先级；</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00" w:type="pct"/>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IPV6</w:t>
            </w:r>
          </w:p>
        </w:tc>
        <w:tc>
          <w:tcPr>
            <w:tcW w:w="419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支持IPv6协议栈、IPV6穿越技术、IPV6路由协议；</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支持IPv6 over IPv4 GRE隧道，6RD隧道；</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00" w:type="pct"/>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▲协议识别</w:t>
            </w:r>
          </w:p>
        </w:tc>
        <w:tc>
          <w:tcPr>
            <w:tcW w:w="419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支持识别国标SIP协议及主流安防厂家的私有协议，（提供设备功能截图证明）；</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00" w:type="pct"/>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策略管理</w:t>
            </w:r>
          </w:p>
        </w:tc>
        <w:tc>
          <w:tcPr>
            <w:tcW w:w="419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支持策略的模糊查询，策略组，策略规则标签，方便策略的管理及运维；</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支持将基于端口的安全策略转换为基于应用的安全策略，分析设备策略风险，及冗余策略，提供安全策略优化建议；</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00" w:type="pct"/>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DDoS防护</w:t>
            </w:r>
          </w:p>
        </w:tc>
        <w:tc>
          <w:tcPr>
            <w:tcW w:w="419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支持HTTP、HTTPS、DNS、SIP等应用层Flood攻击，支持流量自学习功能，可设置自学习时间，并自动生成DDoS防范策略；</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支持IP信誉；</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00" w:type="pct"/>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▲流量控制</w:t>
            </w:r>
          </w:p>
        </w:tc>
        <w:tc>
          <w:tcPr>
            <w:tcW w:w="419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支持用户流量配额管理，（提供设备功能截图证明）；</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800" w:type="pct"/>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NAT</w:t>
            </w:r>
          </w:p>
        </w:tc>
        <w:tc>
          <w:tcPr>
            <w:tcW w:w="419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支持全面NAT功能，对多种应用层协议支持ALG功能，包括ILS、DNS、PPTP、SIP、FTP、ICQ、RTSP、QQ、MSN、MMS等；</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支持源NAT自动探测并排除NAT-IP地址池中无效地址（防封杀）；</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支持源NAT地址池使用率超限告警；</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支持三元组NAT smart-fullcone；</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800" w:type="pct"/>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入侵防御及病毒防护</w:t>
            </w:r>
          </w:p>
        </w:tc>
        <w:tc>
          <w:tcPr>
            <w:tcW w:w="419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基于特征检测，支持超过8000种特征的攻击检测和防御；</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支持基于场景进行策略入侵防御的模板定制；</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支持对常见应用服务（HTTP、FTP、SSH、SMTP、IMAP）和数据库软件（MySQL、Oracle、MSSQL）的口令暴力破解防护功能；</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支持恶意域名过滤，实现对C&amp;C进行阻断；</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xml:space="preserve">可以支持HTTP、FTP、SMTP、POP3、IMAP、NFS等协议的病毒防护； </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00"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▲加密流量安全防护</w:t>
            </w:r>
          </w:p>
        </w:tc>
        <w:tc>
          <w:tcPr>
            <w:tcW w:w="419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支持基于URL分类的精细化解密，提高解密性能，（提供设备功能截图证明）；</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00" w:type="pct"/>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可靠性</w:t>
            </w:r>
          </w:p>
        </w:tc>
        <w:tc>
          <w:tcPr>
            <w:tcW w:w="419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支持BFD链路检测，支持BFD与VRRP联动实现双机快速切换，支持BFD与OSPF联动实现双机快速切换；</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xml:space="preserve">支持HA平滑升级，升级窗口中支持不同版本的软件形成双机热备； </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00" w:type="pct"/>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多出口智能选路</w:t>
            </w:r>
          </w:p>
        </w:tc>
        <w:tc>
          <w:tcPr>
            <w:tcW w:w="419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可根据目的地址智能优选运营商链路，支持主备接口配置以及按比例分配的负载分担方式；</w:t>
            </w:r>
          </w:p>
        </w:tc>
      </w:tr>
    </w:tbl>
    <w:p>
      <w:pPr>
        <w:spacing w:after="0"/>
        <w:ind w:firstLine="420" w:firstLineChars="200"/>
        <w:rPr>
          <w:rFonts w:ascii="宋体" w:hAnsi="宋体" w:eastAsia="宋体" w:cs="宋体"/>
          <w:color w:val="auto"/>
          <w:sz w:val="21"/>
          <w:szCs w:val="21"/>
        </w:rPr>
      </w:pPr>
    </w:p>
    <w:p>
      <w:pPr>
        <w:spacing w:after="0"/>
        <w:ind w:firstLine="420" w:firstLineChars="200"/>
        <w:rPr>
          <w:rFonts w:ascii="宋体" w:hAnsi="宋体" w:eastAsia="宋体" w:cs="宋体"/>
          <w:color w:val="auto"/>
          <w:sz w:val="21"/>
          <w:szCs w:val="21"/>
        </w:rPr>
      </w:pPr>
    </w:p>
    <w:p>
      <w:pPr>
        <w:spacing w:before="72" w:beforeLines="20" w:after="72" w:afterLines="20"/>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7.10 48口千兆汇聚交换机</w:t>
      </w:r>
    </w:p>
    <w:p>
      <w:pPr>
        <w:spacing w:after="0"/>
        <w:ind w:firstLine="420" w:firstLineChars="200"/>
        <w:rPr>
          <w:rFonts w:ascii="宋体" w:hAnsi="宋体" w:eastAsia="宋体" w:cs="宋体"/>
          <w:color w:val="auto"/>
          <w:sz w:val="21"/>
          <w:szCs w:val="21"/>
        </w:rPr>
      </w:pPr>
    </w:p>
    <w:tbl>
      <w:tblPr>
        <w:tblStyle w:val="16"/>
        <w:tblW w:w="4999" w:type="pct"/>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7157"/>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00" w:type="pct"/>
            <w:noWrap/>
            <w:vAlign w:val="center"/>
          </w:tcPr>
          <w:p>
            <w:pPr>
              <w:spacing w:before="36" w:beforeLines="10" w:after="36" w:afterLines="10"/>
              <w:jc w:val="center"/>
              <w:rPr>
                <w:rFonts w:ascii="宋体" w:hAnsi="宋体" w:eastAsia="宋体" w:cs="宋体"/>
                <w:b/>
                <w:color w:val="auto"/>
                <w:sz w:val="21"/>
                <w:szCs w:val="21"/>
              </w:rPr>
            </w:pPr>
            <w:r>
              <w:rPr>
                <w:rFonts w:hint="eastAsia" w:ascii="宋体" w:hAnsi="宋体" w:eastAsia="宋体" w:cs="宋体"/>
                <w:b/>
                <w:color w:val="auto"/>
                <w:sz w:val="21"/>
                <w:szCs w:val="21"/>
              </w:rPr>
              <w:t>功能类别</w:t>
            </w:r>
          </w:p>
        </w:tc>
        <w:tc>
          <w:tcPr>
            <w:tcW w:w="4199" w:type="pct"/>
            <w:noWrap/>
            <w:vAlign w:val="center"/>
          </w:tcPr>
          <w:p>
            <w:pPr>
              <w:spacing w:before="36" w:beforeLines="10" w:after="36" w:afterLines="10"/>
              <w:jc w:val="center"/>
              <w:rPr>
                <w:rFonts w:ascii="宋体" w:hAnsi="宋体" w:eastAsia="宋体" w:cs="宋体"/>
                <w:b/>
                <w:color w:val="auto"/>
                <w:sz w:val="21"/>
                <w:szCs w:val="21"/>
              </w:rPr>
            </w:pPr>
            <w:r>
              <w:rPr>
                <w:rFonts w:hint="eastAsia" w:ascii="宋体" w:hAnsi="宋体" w:eastAsia="宋体" w:cs="宋体"/>
                <w:b/>
                <w:color w:val="auto"/>
                <w:sz w:val="21"/>
                <w:szCs w:val="21"/>
              </w:rPr>
              <w:t>技术要求及指标</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pct"/>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基础性能</w:t>
            </w:r>
          </w:p>
        </w:tc>
        <w:tc>
          <w:tcPr>
            <w:tcW w:w="4199" w:type="pct"/>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交换容量（最小参数）≥336Gbps，包转发率（最小参数）≥80Mpps；</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提供千兆电口≥48个，千兆SFP≥4个；</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800" w:type="pct"/>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二层功能</w:t>
            </w:r>
          </w:p>
        </w:tc>
        <w:tc>
          <w:tcPr>
            <w:tcW w:w="419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支持MAC地址≥16K，支持ARP表项≥2K；</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支持4K个VLAN，支持Voice VLAN，基于端口的VLAN，基于MAC的VLAN，基于协议的VLAN；</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支持VLAN内端口隔离；</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支持Smart link；</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支持端口聚合，每个聚合组至少8个端口；</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支持跨设备链路聚合；</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00" w:type="pct"/>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三层功能</w:t>
            </w:r>
          </w:p>
        </w:tc>
        <w:tc>
          <w:tcPr>
            <w:tcW w:w="419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支持RIP、RIPng、OSPF，支持IPv4 FIB表项≥4K；</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00" w:type="pct"/>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▲OpenFlow 1.3</w:t>
            </w:r>
          </w:p>
        </w:tc>
        <w:tc>
          <w:tcPr>
            <w:tcW w:w="419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支持OpenFlow 1.3和NETCONF SDN协议，（提供权威的第三方测试报告证明）；</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0" w:type="pct"/>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▲安全</w:t>
            </w:r>
          </w:p>
        </w:tc>
        <w:tc>
          <w:tcPr>
            <w:tcW w:w="419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支持多种安全特性，包括DHCP snooping，DAI，SAVI，MFF，CPU防攻击等，（提供权威的第三方测试报告证明）；</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00" w:type="pct"/>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▲虚拟化</w:t>
            </w:r>
          </w:p>
        </w:tc>
        <w:tc>
          <w:tcPr>
            <w:tcW w:w="419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支持通过堆叠技术使用GbE业务端口或上行端口进行堆叠，（提供权威的第三方测试报告证明）；</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00" w:type="pct"/>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QOS</w:t>
            </w:r>
          </w:p>
        </w:tc>
        <w:tc>
          <w:tcPr>
            <w:tcW w:w="419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支持对端口接收报文速率和发送报文速率进行限制；</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支持SP、WRR、SP+WRR等队列调度算法；</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支持基于端口的流量监管；</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支持基于队列限速和端口整形的功能；</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00" w:type="pct"/>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管理维护</w:t>
            </w:r>
          </w:p>
        </w:tc>
        <w:tc>
          <w:tcPr>
            <w:tcW w:w="419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支持SNMP v1/v2/v3、Telnet、RMON；</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支持通过命令行、Web、中文图形化配置软件等方式进行配置和管理；</w:t>
            </w:r>
          </w:p>
        </w:tc>
      </w:tr>
    </w:tbl>
    <w:p>
      <w:pPr>
        <w:pStyle w:val="2"/>
        <w:ind w:left="0"/>
        <w:rPr>
          <w:color w:val="auto"/>
        </w:rPr>
      </w:pPr>
    </w:p>
    <w:p>
      <w:pPr>
        <w:spacing w:before="72" w:beforeLines="20" w:after="72" w:afterLines="20"/>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7.11 24口千兆接入交换机</w:t>
      </w:r>
    </w:p>
    <w:p>
      <w:pPr>
        <w:spacing w:after="0"/>
        <w:ind w:firstLine="420" w:firstLineChars="200"/>
        <w:rPr>
          <w:rFonts w:ascii="宋体" w:hAnsi="宋体" w:eastAsia="宋体" w:cs="宋体"/>
          <w:color w:val="auto"/>
          <w:sz w:val="21"/>
          <w:szCs w:val="21"/>
        </w:rPr>
      </w:pPr>
    </w:p>
    <w:tbl>
      <w:tblPr>
        <w:tblStyle w:val="16"/>
        <w:tblW w:w="4999" w:type="pct"/>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7176"/>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89" w:type="pct"/>
            <w:noWrap/>
            <w:vAlign w:val="center"/>
          </w:tcPr>
          <w:p>
            <w:pPr>
              <w:spacing w:before="36" w:beforeLines="10" w:after="36" w:afterLines="10"/>
              <w:jc w:val="center"/>
              <w:rPr>
                <w:rFonts w:ascii="宋体" w:hAnsi="宋体" w:eastAsia="宋体" w:cs="宋体"/>
                <w:b/>
                <w:color w:val="auto"/>
                <w:sz w:val="21"/>
                <w:szCs w:val="21"/>
              </w:rPr>
            </w:pPr>
            <w:r>
              <w:rPr>
                <w:rFonts w:hint="eastAsia" w:ascii="宋体" w:hAnsi="宋体" w:eastAsia="宋体" w:cs="宋体"/>
                <w:b/>
                <w:color w:val="auto"/>
                <w:sz w:val="21"/>
                <w:szCs w:val="21"/>
              </w:rPr>
              <w:t>功能类别</w:t>
            </w:r>
          </w:p>
        </w:tc>
        <w:tc>
          <w:tcPr>
            <w:tcW w:w="4210" w:type="pct"/>
            <w:noWrap/>
            <w:vAlign w:val="center"/>
          </w:tcPr>
          <w:p>
            <w:pPr>
              <w:spacing w:before="36" w:beforeLines="10" w:after="36" w:afterLines="10"/>
              <w:jc w:val="center"/>
              <w:rPr>
                <w:rFonts w:ascii="宋体" w:hAnsi="宋体" w:eastAsia="宋体" w:cs="宋体"/>
                <w:b/>
                <w:color w:val="auto"/>
                <w:sz w:val="21"/>
                <w:szCs w:val="21"/>
              </w:rPr>
            </w:pPr>
            <w:r>
              <w:rPr>
                <w:rFonts w:hint="eastAsia" w:ascii="宋体" w:hAnsi="宋体" w:eastAsia="宋体" w:cs="宋体"/>
                <w:b/>
                <w:color w:val="auto"/>
                <w:sz w:val="21"/>
                <w:szCs w:val="21"/>
              </w:rPr>
              <w:t>技术要求及指标</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9" w:type="pct"/>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基础性能</w:t>
            </w:r>
          </w:p>
        </w:tc>
        <w:tc>
          <w:tcPr>
            <w:tcW w:w="4210" w:type="pct"/>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交换容量（最小参数）≥336Gbps，包转发率（最小参数）≥50Mpps；</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提供千兆电口≥24个，千兆SFP≥4个；</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78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二层功能</w:t>
            </w:r>
          </w:p>
        </w:tc>
        <w:tc>
          <w:tcPr>
            <w:tcW w:w="4210"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支持MAC地址≥16K，支持ARP表项≥2K；</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支持4K个VLAN，支持Voice VLAN，基于端口的VLAN，基于MAC的VLAN，基于协议的VLAN；</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支持VLAN内端口隔离；</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支持Smart link；</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支持端口聚合，每个聚合组至少8个端口；</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支持跨设备链路聚合；</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8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三层功能</w:t>
            </w:r>
          </w:p>
        </w:tc>
        <w:tc>
          <w:tcPr>
            <w:tcW w:w="4210"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支持RIP、RIPng、OSPF，支持IPv4 FIB表项≥4K；</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8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OpenFlow 1.3</w:t>
            </w:r>
          </w:p>
        </w:tc>
        <w:tc>
          <w:tcPr>
            <w:tcW w:w="4210"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支持OpenFlow 1.3和NETCONF SDN协议</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8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安全</w:t>
            </w:r>
          </w:p>
        </w:tc>
        <w:tc>
          <w:tcPr>
            <w:tcW w:w="4210"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支持多种安全特性，包括DHCP snooping，DAI，SAVI，MFF，CPU防攻击等；</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8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虚拟化</w:t>
            </w:r>
          </w:p>
        </w:tc>
        <w:tc>
          <w:tcPr>
            <w:tcW w:w="4210"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支持通过堆叠技术使用GbE业务端口或上行端口进行堆叠；</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8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QOS</w:t>
            </w:r>
          </w:p>
        </w:tc>
        <w:tc>
          <w:tcPr>
            <w:tcW w:w="4210"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支持对端口接收报文速率和发送报文速率进行限制；</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支持SP、WRR、SP+WRR等队列调度算法；</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支持基于端口的流量监管；</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支持基于队列限速和端口整形的功能；</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89"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管理维护</w:t>
            </w:r>
          </w:p>
        </w:tc>
        <w:tc>
          <w:tcPr>
            <w:tcW w:w="4210" w:type="pct"/>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支持SNMP v1/v2/v3、Telnet、RMON；</w:t>
            </w:r>
          </w:p>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支持通过命令行、Web、中文图形化配置软件等方式进行配置和管理；</w:t>
            </w:r>
          </w:p>
        </w:tc>
      </w:tr>
    </w:tbl>
    <w:p>
      <w:pPr>
        <w:spacing w:after="0"/>
        <w:ind w:firstLine="420" w:firstLineChars="200"/>
        <w:rPr>
          <w:rFonts w:ascii="宋体" w:hAnsi="宋体" w:eastAsia="宋体" w:cs="宋体"/>
          <w:color w:val="auto"/>
          <w:sz w:val="21"/>
          <w:szCs w:val="21"/>
        </w:rPr>
      </w:pPr>
    </w:p>
    <w:p>
      <w:pPr>
        <w:spacing w:after="0"/>
        <w:ind w:firstLine="420" w:firstLineChars="200"/>
        <w:rPr>
          <w:rFonts w:ascii="宋体" w:hAnsi="宋体" w:eastAsia="宋体" w:cs="宋体"/>
          <w:color w:val="auto"/>
          <w:sz w:val="21"/>
          <w:szCs w:val="21"/>
        </w:rPr>
      </w:pPr>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Pr>
        <w:pStyle w:val="3"/>
        <w:numPr>
          <w:ilvl w:val="0"/>
          <w:numId w:val="0"/>
        </w:numPr>
        <w:tabs>
          <w:tab w:val="clear" w:pos="432"/>
        </w:tabs>
        <w:autoSpaceDE w:val="0"/>
        <w:autoSpaceDN w:val="0"/>
        <w:spacing w:before="180" w:beforeLines="50" w:after="180" w:afterLines="50"/>
        <w:jc w:val="left"/>
        <w:textAlignment w:val="baseline"/>
        <w:rPr>
          <w:rFonts w:ascii="宋体" w:hAnsi="宋体" w:eastAsia="宋体" w:cs="宋体"/>
          <w:b/>
          <w:bCs/>
          <w:color w:val="auto"/>
          <w:sz w:val="28"/>
          <w:szCs w:val="28"/>
        </w:rPr>
      </w:pPr>
      <w:bookmarkStart w:id="52" w:name="_Toc424589236"/>
      <w:bookmarkStart w:id="53" w:name="_Toc424425334"/>
      <w:r>
        <w:rPr>
          <w:rFonts w:hint="eastAsia" w:ascii="宋体" w:hAnsi="宋体" w:eastAsia="宋体" w:cs="宋体"/>
          <w:b/>
          <w:bCs/>
          <w:color w:val="auto"/>
          <w:sz w:val="28"/>
          <w:szCs w:val="28"/>
        </w:rPr>
        <w:t>8、设备清单</w:t>
      </w:r>
      <w:bookmarkEnd w:id="52"/>
      <w:bookmarkEnd w:id="53"/>
    </w:p>
    <w:tbl>
      <w:tblPr>
        <w:tblStyle w:val="16"/>
        <w:tblW w:w="5000" w:type="pct"/>
        <w:jc w:val="center"/>
        <w:tblLayout w:type="autofit"/>
        <w:tblCellMar>
          <w:top w:w="0" w:type="dxa"/>
          <w:left w:w="108" w:type="dxa"/>
          <w:bottom w:w="0" w:type="dxa"/>
          <w:right w:w="108" w:type="dxa"/>
        </w:tblCellMar>
      </w:tblPr>
      <w:tblGrid>
        <w:gridCol w:w="694"/>
        <w:gridCol w:w="1266"/>
        <w:gridCol w:w="3879"/>
        <w:gridCol w:w="833"/>
        <w:gridCol w:w="732"/>
        <w:gridCol w:w="1118"/>
      </w:tblGrid>
      <w:tr>
        <w:tblPrEx>
          <w:tblCellMar>
            <w:top w:w="0" w:type="dxa"/>
            <w:left w:w="108" w:type="dxa"/>
            <w:bottom w:w="0" w:type="dxa"/>
            <w:right w:w="108" w:type="dxa"/>
          </w:tblCellMar>
        </w:tblPrEx>
        <w:trPr>
          <w:trHeight w:val="330" w:hRule="atLeast"/>
          <w:jc w:val="center"/>
        </w:trPr>
        <w:tc>
          <w:tcPr>
            <w:tcW w:w="5000" w:type="pct"/>
            <w:gridSpan w:val="6"/>
            <w:tcBorders>
              <w:top w:val="single" w:color="auto" w:sz="4" w:space="0"/>
              <w:left w:val="single" w:color="auto" w:sz="4" w:space="0"/>
              <w:bottom w:val="single" w:color="auto" w:sz="4" w:space="0"/>
              <w:right w:val="single" w:color="000000" w:sz="4" w:space="0"/>
            </w:tcBorders>
            <w:noWrap/>
            <w:vAlign w:val="center"/>
          </w:tcPr>
          <w:p>
            <w:pPr>
              <w:spacing w:before="36" w:beforeLines="10" w:after="36" w:afterLines="10"/>
              <w:jc w:val="center"/>
              <w:rPr>
                <w:rFonts w:ascii="宋体" w:hAnsi="宋体" w:eastAsia="宋体" w:cs="宋体"/>
                <w:b/>
                <w:bCs/>
                <w:color w:val="auto"/>
                <w:sz w:val="21"/>
                <w:szCs w:val="21"/>
              </w:rPr>
            </w:pPr>
            <w:bookmarkStart w:id="54" w:name="RANGE!A1:F58"/>
            <w:r>
              <w:rPr>
                <w:rFonts w:hint="eastAsia" w:ascii="宋体" w:hAnsi="宋体" w:eastAsia="宋体" w:cs="宋体"/>
                <w:b/>
                <w:bCs/>
                <w:color w:val="auto"/>
                <w:sz w:val="21"/>
                <w:szCs w:val="21"/>
              </w:rPr>
              <w:t>机房设备及存储子系统</w:t>
            </w:r>
            <w:bookmarkEnd w:id="54"/>
          </w:p>
        </w:tc>
      </w:tr>
      <w:tr>
        <w:tblPrEx>
          <w:tblCellMar>
            <w:top w:w="0" w:type="dxa"/>
            <w:left w:w="108" w:type="dxa"/>
            <w:bottom w:w="0" w:type="dxa"/>
            <w:right w:w="108" w:type="dxa"/>
          </w:tblCellMar>
        </w:tblPrEx>
        <w:trPr>
          <w:trHeight w:val="285"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66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设备名称</w:t>
            </w:r>
          </w:p>
        </w:tc>
        <w:tc>
          <w:tcPr>
            <w:tcW w:w="2291"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设备参数</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9"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备注</w:t>
            </w:r>
          </w:p>
        </w:tc>
      </w:tr>
      <w:tr>
        <w:tblPrEx>
          <w:tblCellMar>
            <w:top w:w="0" w:type="dxa"/>
            <w:left w:w="108" w:type="dxa"/>
            <w:bottom w:w="0" w:type="dxa"/>
            <w:right w:w="108" w:type="dxa"/>
          </w:tblCellMar>
        </w:tblPrEx>
        <w:trPr>
          <w:trHeight w:val="285" w:hRule="atLeast"/>
          <w:jc w:val="center"/>
        </w:trPr>
        <w:tc>
          <w:tcPr>
            <w:tcW w:w="3380" w:type="pct"/>
            <w:gridSpan w:val="3"/>
            <w:tcBorders>
              <w:top w:val="single" w:color="auto" w:sz="4" w:space="0"/>
              <w:left w:val="single" w:color="auto" w:sz="4" w:space="0"/>
              <w:bottom w:val="single" w:color="auto" w:sz="4" w:space="0"/>
              <w:right w:val="single" w:color="auto" w:sz="4" w:space="0"/>
            </w:tcBorders>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一、机房存储部分</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　</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　</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285"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665"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磁盘阵列</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详见主要设备技术要求</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台</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480"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665"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监控企业级存储硬盘</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6T</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108</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块</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480"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665"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智慧监控单元存储</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详见主要设备技术要求</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445" w:type="pct"/>
            <w:tcBorders>
              <w:top w:val="nil"/>
              <w:left w:val="nil"/>
              <w:bottom w:val="single" w:color="auto" w:sz="4" w:space="0"/>
              <w:right w:val="single" w:color="auto" w:sz="4" w:space="0"/>
            </w:tcBorders>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台</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480"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665"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监控存储专用硬盘</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4T</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24</w:t>
            </w:r>
          </w:p>
        </w:tc>
        <w:tc>
          <w:tcPr>
            <w:tcW w:w="445" w:type="pct"/>
            <w:tcBorders>
              <w:top w:val="nil"/>
              <w:left w:val="nil"/>
              <w:bottom w:val="single" w:color="auto" w:sz="4" w:space="0"/>
              <w:right w:val="single" w:color="auto" w:sz="4" w:space="0"/>
            </w:tcBorders>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块</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285" w:hRule="atLeast"/>
          <w:jc w:val="center"/>
        </w:trPr>
        <w:tc>
          <w:tcPr>
            <w:tcW w:w="3380" w:type="pct"/>
            <w:gridSpan w:val="3"/>
            <w:tcBorders>
              <w:top w:val="single" w:color="auto" w:sz="4" w:space="0"/>
              <w:left w:val="single" w:color="auto" w:sz="4" w:space="0"/>
              <w:bottom w:val="single" w:color="auto" w:sz="4" w:space="0"/>
              <w:right w:val="single" w:color="auto" w:sz="4" w:space="0"/>
            </w:tcBorders>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二、服务器及网络接入部分</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　</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　</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285"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665"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双路服务器</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详见主要设备技术要求；</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台</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480"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665"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卡口大数据服务器</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详见主要设备技术要求</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台</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480"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665"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汇聚接入交换机</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详见主要设备技术要求</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台</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480"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665"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光模块</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1000BASE-LX SFP接口（单模10km/1310nm，LC接口）</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8</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个</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rPr>
          <w:trHeight w:val="480"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5</w:t>
            </w:r>
          </w:p>
        </w:tc>
        <w:tc>
          <w:tcPr>
            <w:tcW w:w="665"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PDU电源插座</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6位插座，220VAC， 20KA_B级</w:t>
            </w:r>
          </w:p>
        </w:tc>
        <w:tc>
          <w:tcPr>
            <w:tcW w:w="504" w:type="pct"/>
            <w:tcBorders>
              <w:top w:val="nil"/>
              <w:left w:val="nil"/>
              <w:bottom w:val="single" w:color="auto" w:sz="4" w:space="0"/>
              <w:right w:val="single" w:color="auto" w:sz="4" w:space="0"/>
            </w:tcBorders>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18</w:t>
            </w:r>
          </w:p>
        </w:tc>
        <w:tc>
          <w:tcPr>
            <w:tcW w:w="445" w:type="pct"/>
            <w:tcBorders>
              <w:top w:val="nil"/>
              <w:left w:val="nil"/>
              <w:bottom w:val="single" w:color="auto" w:sz="4" w:space="0"/>
              <w:right w:val="single" w:color="auto" w:sz="4" w:space="0"/>
            </w:tcBorders>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个</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480"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6</w:t>
            </w:r>
          </w:p>
        </w:tc>
        <w:tc>
          <w:tcPr>
            <w:tcW w:w="665"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光纤收发器机架</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19英寸宽/4U高机架/19插槽/双电源插槽</w:t>
            </w:r>
          </w:p>
        </w:tc>
        <w:tc>
          <w:tcPr>
            <w:tcW w:w="504" w:type="pct"/>
            <w:tcBorders>
              <w:top w:val="nil"/>
              <w:left w:val="nil"/>
              <w:bottom w:val="single" w:color="auto" w:sz="4" w:space="0"/>
              <w:right w:val="single" w:color="auto" w:sz="4" w:space="0"/>
            </w:tcBorders>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10</w:t>
            </w:r>
          </w:p>
        </w:tc>
        <w:tc>
          <w:tcPr>
            <w:tcW w:w="445" w:type="pct"/>
            <w:tcBorders>
              <w:top w:val="nil"/>
              <w:left w:val="nil"/>
              <w:bottom w:val="single" w:color="auto" w:sz="4" w:space="0"/>
              <w:right w:val="single" w:color="auto" w:sz="4" w:space="0"/>
            </w:tcBorders>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台</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1440"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7</w:t>
            </w:r>
          </w:p>
        </w:tc>
        <w:tc>
          <w:tcPr>
            <w:tcW w:w="665"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千兆光纤收发器</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3个10/100BaseT（X），1个10/100/1000BaseT（X）自适应RJ45接口；</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1个1000BaseFX以太网光纤接口；</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单模单纤，传输距离可达20、80公里；</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支持IEEE802.3、IEEE802.3u、IEEE802.3x网络标准；</w:t>
            </w:r>
          </w:p>
        </w:tc>
        <w:tc>
          <w:tcPr>
            <w:tcW w:w="504" w:type="pct"/>
            <w:tcBorders>
              <w:top w:val="nil"/>
              <w:left w:val="nil"/>
              <w:bottom w:val="single" w:color="auto" w:sz="4" w:space="0"/>
              <w:right w:val="single" w:color="auto" w:sz="4" w:space="0"/>
            </w:tcBorders>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160</w:t>
            </w:r>
          </w:p>
        </w:tc>
        <w:tc>
          <w:tcPr>
            <w:tcW w:w="445" w:type="pct"/>
            <w:tcBorders>
              <w:top w:val="nil"/>
              <w:left w:val="nil"/>
              <w:bottom w:val="single" w:color="auto" w:sz="4" w:space="0"/>
              <w:right w:val="single" w:color="auto" w:sz="4" w:space="0"/>
            </w:tcBorders>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对</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285"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8</w:t>
            </w:r>
          </w:p>
        </w:tc>
        <w:tc>
          <w:tcPr>
            <w:tcW w:w="665"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网络机柜</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服务器机柜</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6</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台</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285"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9</w:t>
            </w:r>
          </w:p>
        </w:tc>
        <w:tc>
          <w:tcPr>
            <w:tcW w:w="665"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工程辅材</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批</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330" w:hRule="atLeast"/>
          <w:jc w:val="center"/>
        </w:trPr>
        <w:tc>
          <w:tcPr>
            <w:tcW w:w="5000" w:type="pct"/>
            <w:gridSpan w:val="6"/>
            <w:tcBorders>
              <w:top w:val="single" w:color="auto" w:sz="4" w:space="0"/>
              <w:left w:val="single" w:color="auto" w:sz="4" w:space="0"/>
              <w:bottom w:val="single" w:color="auto" w:sz="4" w:space="0"/>
              <w:right w:val="single" w:color="000000" w:sz="4" w:space="0"/>
            </w:tcBorders>
            <w:noWrap/>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简易卡口子系统</w:t>
            </w:r>
          </w:p>
        </w:tc>
      </w:tr>
      <w:tr>
        <w:trPr>
          <w:trHeight w:val="285"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665" w:type="pct"/>
            <w:tcBorders>
              <w:top w:val="nil"/>
              <w:left w:val="nil"/>
              <w:bottom w:val="single" w:color="auto" w:sz="4" w:space="0"/>
              <w:right w:val="single" w:color="auto" w:sz="4" w:space="0"/>
            </w:tcBorders>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设备名称</w:t>
            </w:r>
          </w:p>
        </w:tc>
        <w:tc>
          <w:tcPr>
            <w:tcW w:w="2291"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设备参数</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480"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665"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智慧道路监控摄像机</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详见主要设备技术要求</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48</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台</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1200"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665"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环境补光灯</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16颗原装进口大功率白光LED常亮灯；色温:5000K~7000K</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最佳补光距离:16m～25m；最大功率：30W；功能特性：三车道环境补光灯,支持光敏控制，低照度下自动开启</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48</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台</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rPr>
          <w:trHeight w:val="285"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665"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安装万向节</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横杆装支架/带万向节支架/钢/海康威视白喷塑</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96</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个</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720"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665"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电源、网络二合一防雷器</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网络防雷器、标称放电电流5KA（RJ45进出端子）；12V、24V兼容，交直流兼容电源防雷</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48</w:t>
            </w:r>
          </w:p>
        </w:tc>
        <w:tc>
          <w:tcPr>
            <w:tcW w:w="445" w:type="pct"/>
            <w:tcBorders>
              <w:top w:val="nil"/>
              <w:left w:val="nil"/>
              <w:bottom w:val="single" w:color="auto" w:sz="4" w:space="0"/>
              <w:right w:val="single" w:color="auto" w:sz="4" w:space="0"/>
            </w:tcBorders>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套</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285"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5</w:t>
            </w:r>
          </w:p>
        </w:tc>
        <w:tc>
          <w:tcPr>
            <w:tcW w:w="665"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网线</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室外专用五类非屏蔽网线</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6</w:t>
            </w:r>
          </w:p>
        </w:tc>
        <w:tc>
          <w:tcPr>
            <w:tcW w:w="445" w:type="pct"/>
            <w:tcBorders>
              <w:top w:val="nil"/>
              <w:left w:val="nil"/>
              <w:bottom w:val="single" w:color="auto" w:sz="4" w:space="0"/>
              <w:right w:val="single" w:color="auto" w:sz="4" w:space="0"/>
            </w:tcBorders>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箱</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285"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6</w:t>
            </w:r>
          </w:p>
        </w:tc>
        <w:tc>
          <w:tcPr>
            <w:tcW w:w="665"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电源线</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抓拍机，补光灯取用</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1800</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米</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285"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7</w:t>
            </w:r>
          </w:p>
        </w:tc>
        <w:tc>
          <w:tcPr>
            <w:tcW w:w="665"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工程辅材</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445" w:type="pct"/>
            <w:tcBorders>
              <w:top w:val="nil"/>
              <w:left w:val="nil"/>
              <w:bottom w:val="single" w:color="auto" w:sz="4" w:space="0"/>
              <w:right w:val="single" w:color="auto" w:sz="4" w:space="0"/>
            </w:tcBorders>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批</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330" w:hRule="atLeast"/>
          <w:jc w:val="center"/>
        </w:trPr>
        <w:tc>
          <w:tcPr>
            <w:tcW w:w="5000" w:type="pct"/>
            <w:gridSpan w:val="6"/>
            <w:tcBorders>
              <w:top w:val="single" w:color="auto" w:sz="4" w:space="0"/>
              <w:left w:val="single" w:color="auto" w:sz="4" w:space="0"/>
              <w:bottom w:val="single" w:color="auto" w:sz="4" w:space="0"/>
              <w:right w:val="single" w:color="000000" w:sz="4" w:space="0"/>
            </w:tcBorders>
            <w:noWrap/>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村级联网子系统</w:t>
            </w:r>
          </w:p>
        </w:tc>
      </w:tr>
      <w:tr>
        <w:tblPrEx>
          <w:tblCellMar>
            <w:top w:w="0" w:type="dxa"/>
            <w:left w:w="108" w:type="dxa"/>
            <w:bottom w:w="0" w:type="dxa"/>
            <w:right w:w="108" w:type="dxa"/>
          </w:tblCellMar>
        </w:tblPrEx>
        <w:trPr>
          <w:trHeight w:val="285"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665" w:type="pct"/>
            <w:tcBorders>
              <w:top w:val="nil"/>
              <w:left w:val="nil"/>
              <w:bottom w:val="single" w:color="auto" w:sz="4" w:space="0"/>
              <w:right w:val="single" w:color="auto" w:sz="4" w:space="0"/>
            </w:tcBorders>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设备名称</w:t>
            </w:r>
          </w:p>
        </w:tc>
        <w:tc>
          <w:tcPr>
            <w:tcW w:w="2291" w:type="pct"/>
            <w:tcBorders>
              <w:top w:val="nil"/>
              <w:left w:val="nil"/>
              <w:bottom w:val="single" w:color="auto" w:sz="4" w:space="0"/>
              <w:right w:val="single" w:color="auto" w:sz="4" w:space="0"/>
            </w:tcBorders>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720"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665"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两网双平台平台升级扩容</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原平台含1000路视频接入授权，升级到3000路视频接入，视频专网平台及公安专网平台同时升级。</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2000</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路</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480"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665"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流媒体服务器</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详见主要设备技术要求</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台</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285"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665"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防火墙</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详见主要设备技术要求</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台</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480"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665"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接入汇聚交换机</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详见主要设备技术要求</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19</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台</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285"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5</w:t>
            </w:r>
          </w:p>
        </w:tc>
        <w:tc>
          <w:tcPr>
            <w:tcW w:w="665"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工程辅材</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批</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rPr>
          <w:trHeight w:val="330" w:hRule="atLeast"/>
          <w:jc w:val="center"/>
        </w:trPr>
        <w:tc>
          <w:tcPr>
            <w:tcW w:w="5000" w:type="pct"/>
            <w:gridSpan w:val="6"/>
            <w:tcBorders>
              <w:top w:val="single" w:color="auto" w:sz="4" w:space="0"/>
              <w:left w:val="single" w:color="auto" w:sz="4" w:space="0"/>
              <w:bottom w:val="single" w:color="auto" w:sz="4" w:space="0"/>
              <w:right w:val="single" w:color="000000" w:sz="4" w:space="0"/>
            </w:tcBorders>
            <w:noWrap/>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万兆升级子系统</w:t>
            </w:r>
          </w:p>
        </w:tc>
      </w:tr>
      <w:tr>
        <w:tblPrEx>
          <w:tblCellMar>
            <w:top w:w="0" w:type="dxa"/>
            <w:left w:w="108" w:type="dxa"/>
            <w:bottom w:w="0" w:type="dxa"/>
            <w:right w:w="108" w:type="dxa"/>
          </w:tblCellMar>
        </w:tblPrEx>
        <w:trPr>
          <w:trHeight w:val="285"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66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设备名称</w:t>
            </w:r>
          </w:p>
        </w:tc>
        <w:tc>
          <w:tcPr>
            <w:tcW w:w="2291"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参数说明</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9"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备注</w:t>
            </w:r>
          </w:p>
        </w:tc>
      </w:tr>
      <w:tr>
        <w:tblPrEx>
          <w:tblCellMar>
            <w:top w:w="0" w:type="dxa"/>
            <w:left w:w="108" w:type="dxa"/>
            <w:bottom w:w="0" w:type="dxa"/>
            <w:right w:w="108" w:type="dxa"/>
          </w:tblCellMar>
        </w:tblPrEx>
        <w:trPr>
          <w:trHeight w:val="285" w:hRule="atLeast"/>
          <w:jc w:val="center"/>
        </w:trPr>
        <w:tc>
          <w:tcPr>
            <w:tcW w:w="1088" w:type="pct"/>
            <w:gridSpan w:val="2"/>
            <w:tcBorders>
              <w:top w:val="single" w:color="auto" w:sz="4" w:space="0"/>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分局机房核心设备</w:t>
            </w:r>
          </w:p>
        </w:tc>
        <w:tc>
          <w:tcPr>
            <w:tcW w:w="2291"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　</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　</w:t>
            </w:r>
          </w:p>
        </w:tc>
        <w:tc>
          <w:tcPr>
            <w:tcW w:w="669"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285" w:hRule="atLeast"/>
          <w:jc w:val="center"/>
        </w:trPr>
        <w:tc>
          <w:tcPr>
            <w:tcW w:w="423" w:type="pct"/>
            <w:vMerge w:val="restar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 xml:space="preserve">1 </w:t>
            </w:r>
          </w:p>
        </w:tc>
        <w:tc>
          <w:tcPr>
            <w:tcW w:w="665"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交换机</w:t>
            </w:r>
          </w:p>
        </w:tc>
        <w:tc>
          <w:tcPr>
            <w:tcW w:w="2291" w:type="pct"/>
            <w:vMerge w:val="restart"/>
            <w:tcBorders>
              <w:top w:val="nil"/>
              <w:left w:val="single" w:color="auto" w:sz="4" w:space="0"/>
              <w:bottom w:val="single" w:color="000000"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详见主要设备技术要求</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 xml:space="preserve">2 </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套</w:t>
            </w:r>
          </w:p>
        </w:tc>
        <w:tc>
          <w:tcPr>
            <w:tcW w:w="669" w:type="pct"/>
            <w:vMerge w:val="restar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285" w:hRule="atLeast"/>
          <w:jc w:val="center"/>
        </w:trPr>
        <w:tc>
          <w:tcPr>
            <w:tcW w:w="423" w:type="pct"/>
            <w:vMerge w:val="continue"/>
            <w:tcBorders>
              <w:top w:val="nil"/>
              <w:left w:val="single" w:color="auto" w:sz="4" w:space="0"/>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p>
        </w:tc>
        <w:tc>
          <w:tcPr>
            <w:tcW w:w="665"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主控</w:t>
            </w:r>
          </w:p>
        </w:tc>
        <w:tc>
          <w:tcPr>
            <w:tcW w:w="2291" w:type="pct"/>
            <w:vMerge w:val="continue"/>
            <w:tcBorders>
              <w:top w:val="nil"/>
              <w:left w:val="single" w:color="auto" w:sz="4" w:space="0"/>
              <w:bottom w:val="single" w:color="000000" w:sz="4" w:space="0"/>
              <w:right w:val="single" w:color="auto" w:sz="4" w:space="0"/>
            </w:tcBorders>
            <w:vAlign w:val="center"/>
          </w:tcPr>
          <w:p>
            <w:pPr>
              <w:spacing w:before="36" w:beforeLines="10" w:after="36" w:afterLines="10"/>
              <w:rPr>
                <w:rFonts w:ascii="宋体" w:hAnsi="宋体" w:eastAsia="宋体" w:cs="宋体"/>
                <w:color w:val="auto"/>
                <w:sz w:val="21"/>
                <w:szCs w:val="21"/>
              </w:rPr>
            </w:pP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 xml:space="preserve">2 </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块</w:t>
            </w:r>
          </w:p>
        </w:tc>
        <w:tc>
          <w:tcPr>
            <w:tcW w:w="669" w:type="pct"/>
            <w:vMerge w:val="continue"/>
            <w:tcBorders>
              <w:top w:val="nil"/>
              <w:left w:val="single" w:color="auto" w:sz="4" w:space="0"/>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p>
        </w:tc>
      </w:tr>
      <w:tr>
        <w:tblPrEx>
          <w:tblCellMar>
            <w:top w:w="0" w:type="dxa"/>
            <w:left w:w="108" w:type="dxa"/>
            <w:bottom w:w="0" w:type="dxa"/>
            <w:right w:w="108" w:type="dxa"/>
          </w:tblCellMar>
        </w:tblPrEx>
        <w:trPr>
          <w:trHeight w:val="285" w:hRule="atLeast"/>
          <w:jc w:val="center"/>
        </w:trPr>
        <w:tc>
          <w:tcPr>
            <w:tcW w:w="423" w:type="pct"/>
            <w:vMerge w:val="continue"/>
            <w:tcBorders>
              <w:top w:val="nil"/>
              <w:left w:val="single" w:color="auto" w:sz="4" w:space="0"/>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p>
        </w:tc>
        <w:tc>
          <w:tcPr>
            <w:tcW w:w="665"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交换单元</w:t>
            </w:r>
          </w:p>
        </w:tc>
        <w:tc>
          <w:tcPr>
            <w:tcW w:w="2291" w:type="pct"/>
            <w:vMerge w:val="continue"/>
            <w:tcBorders>
              <w:top w:val="nil"/>
              <w:left w:val="single" w:color="auto" w:sz="4" w:space="0"/>
              <w:bottom w:val="single" w:color="000000" w:sz="4" w:space="0"/>
              <w:right w:val="single" w:color="auto" w:sz="4" w:space="0"/>
            </w:tcBorders>
            <w:vAlign w:val="center"/>
          </w:tcPr>
          <w:p>
            <w:pPr>
              <w:spacing w:before="36" w:beforeLines="10" w:after="36" w:afterLines="10"/>
              <w:rPr>
                <w:rFonts w:ascii="宋体" w:hAnsi="宋体" w:eastAsia="宋体" w:cs="宋体"/>
                <w:color w:val="auto"/>
                <w:sz w:val="21"/>
                <w:szCs w:val="21"/>
              </w:rPr>
            </w:pP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 xml:space="preserve">2 </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套</w:t>
            </w:r>
          </w:p>
        </w:tc>
        <w:tc>
          <w:tcPr>
            <w:tcW w:w="669" w:type="pct"/>
            <w:vMerge w:val="continue"/>
            <w:tcBorders>
              <w:top w:val="nil"/>
              <w:left w:val="single" w:color="auto" w:sz="4" w:space="0"/>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p>
        </w:tc>
      </w:tr>
      <w:tr>
        <w:tblPrEx>
          <w:tblCellMar>
            <w:top w:w="0" w:type="dxa"/>
            <w:left w:w="108" w:type="dxa"/>
            <w:bottom w:w="0" w:type="dxa"/>
            <w:right w:w="108" w:type="dxa"/>
          </w:tblCellMar>
        </w:tblPrEx>
        <w:trPr>
          <w:trHeight w:val="285" w:hRule="atLeast"/>
          <w:jc w:val="center"/>
        </w:trPr>
        <w:tc>
          <w:tcPr>
            <w:tcW w:w="423" w:type="pct"/>
            <w:vMerge w:val="continue"/>
            <w:tcBorders>
              <w:top w:val="nil"/>
              <w:left w:val="single" w:color="auto" w:sz="4" w:space="0"/>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p>
        </w:tc>
        <w:tc>
          <w:tcPr>
            <w:tcW w:w="665"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业务集群卡</w:t>
            </w:r>
          </w:p>
        </w:tc>
        <w:tc>
          <w:tcPr>
            <w:tcW w:w="2291" w:type="pct"/>
            <w:vMerge w:val="continue"/>
            <w:tcBorders>
              <w:top w:val="nil"/>
              <w:left w:val="single" w:color="auto" w:sz="4" w:space="0"/>
              <w:bottom w:val="single" w:color="000000" w:sz="4" w:space="0"/>
              <w:right w:val="single" w:color="auto" w:sz="4" w:space="0"/>
            </w:tcBorders>
            <w:vAlign w:val="center"/>
          </w:tcPr>
          <w:p>
            <w:pPr>
              <w:spacing w:before="36" w:beforeLines="10" w:after="36" w:afterLines="10"/>
              <w:rPr>
                <w:rFonts w:ascii="宋体" w:hAnsi="宋体" w:eastAsia="宋体" w:cs="宋体"/>
                <w:color w:val="auto"/>
                <w:sz w:val="21"/>
                <w:szCs w:val="21"/>
              </w:rPr>
            </w:pP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 xml:space="preserve">6 </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张</w:t>
            </w:r>
          </w:p>
        </w:tc>
        <w:tc>
          <w:tcPr>
            <w:tcW w:w="669" w:type="pct"/>
            <w:vMerge w:val="continue"/>
            <w:tcBorders>
              <w:top w:val="nil"/>
              <w:left w:val="single" w:color="auto" w:sz="4" w:space="0"/>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p>
        </w:tc>
      </w:tr>
      <w:tr>
        <w:tblPrEx>
          <w:tblCellMar>
            <w:top w:w="0" w:type="dxa"/>
            <w:left w:w="108" w:type="dxa"/>
            <w:bottom w:w="0" w:type="dxa"/>
            <w:right w:w="108" w:type="dxa"/>
          </w:tblCellMar>
        </w:tblPrEx>
        <w:trPr>
          <w:trHeight w:val="285" w:hRule="atLeast"/>
          <w:jc w:val="center"/>
        </w:trPr>
        <w:tc>
          <w:tcPr>
            <w:tcW w:w="423" w:type="pct"/>
            <w:vMerge w:val="continue"/>
            <w:tcBorders>
              <w:top w:val="nil"/>
              <w:left w:val="single" w:color="auto" w:sz="4" w:space="0"/>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p>
        </w:tc>
        <w:tc>
          <w:tcPr>
            <w:tcW w:w="665"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业务板卡</w:t>
            </w:r>
          </w:p>
        </w:tc>
        <w:tc>
          <w:tcPr>
            <w:tcW w:w="2291" w:type="pct"/>
            <w:vMerge w:val="continue"/>
            <w:tcBorders>
              <w:top w:val="nil"/>
              <w:left w:val="single" w:color="auto" w:sz="4" w:space="0"/>
              <w:bottom w:val="single" w:color="000000" w:sz="4" w:space="0"/>
              <w:right w:val="single" w:color="auto" w:sz="4" w:space="0"/>
            </w:tcBorders>
            <w:vAlign w:val="center"/>
          </w:tcPr>
          <w:p>
            <w:pPr>
              <w:spacing w:before="36" w:beforeLines="10" w:after="36" w:afterLines="10"/>
              <w:rPr>
                <w:rFonts w:ascii="宋体" w:hAnsi="宋体" w:eastAsia="宋体" w:cs="宋体"/>
                <w:color w:val="auto"/>
                <w:sz w:val="21"/>
                <w:szCs w:val="21"/>
              </w:rPr>
            </w:pP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 xml:space="preserve">2 </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张</w:t>
            </w:r>
          </w:p>
        </w:tc>
        <w:tc>
          <w:tcPr>
            <w:tcW w:w="669" w:type="pct"/>
            <w:vMerge w:val="continue"/>
            <w:tcBorders>
              <w:top w:val="nil"/>
              <w:left w:val="single" w:color="auto" w:sz="4" w:space="0"/>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p>
        </w:tc>
      </w:tr>
      <w:tr>
        <w:tblPrEx>
          <w:tblCellMar>
            <w:top w:w="0" w:type="dxa"/>
            <w:left w:w="108" w:type="dxa"/>
            <w:bottom w:w="0" w:type="dxa"/>
            <w:right w:w="108" w:type="dxa"/>
          </w:tblCellMar>
        </w:tblPrEx>
        <w:trPr>
          <w:trHeight w:val="285" w:hRule="atLeast"/>
          <w:jc w:val="center"/>
        </w:trPr>
        <w:tc>
          <w:tcPr>
            <w:tcW w:w="423" w:type="pct"/>
            <w:vMerge w:val="continue"/>
            <w:tcBorders>
              <w:top w:val="nil"/>
              <w:left w:val="single" w:color="auto" w:sz="4" w:space="0"/>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p>
        </w:tc>
        <w:tc>
          <w:tcPr>
            <w:tcW w:w="665"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业务板卡</w:t>
            </w:r>
          </w:p>
        </w:tc>
        <w:tc>
          <w:tcPr>
            <w:tcW w:w="2291" w:type="pct"/>
            <w:vMerge w:val="continue"/>
            <w:tcBorders>
              <w:top w:val="nil"/>
              <w:left w:val="single" w:color="auto" w:sz="4" w:space="0"/>
              <w:bottom w:val="single" w:color="000000" w:sz="4" w:space="0"/>
              <w:right w:val="single" w:color="auto" w:sz="4" w:space="0"/>
            </w:tcBorders>
            <w:vAlign w:val="center"/>
          </w:tcPr>
          <w:p>
            <w:pPr>
              <w:spacing w:before="36" w:beforeLines="10" w:after="36" w:afterLines="10"/>
              <w:rPr>
                <w:rFonts w:ascii="宋体" w:hAnsi="宋体" w:eastAsia="宋体" w:cs="宋体"/>
                <w:color w:val="auto"/>
                <w:sz w:val="21"/>
                <w:szCs w:val="21"/>
              </w:rPr>
            </w:pP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 xml:space="preserve">2 </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张</w:t>
            </w:r>
          </w:p>
        </w:tc>
        <w:tc>
          <w:tcPr>
            <w:tcW w:w="669" w:type="pct"/>
            <w:vMerge w:val="continue"/>
            <w:tcBorders>
              <w:top w:val="nil"/>
              <w:left w:val="single" w:color="auto" w:sz="4" w:space="0"/>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p>
        </w:tc>
      </w:tr>
      <w:tr>
        <w:tblPrEx>
          <w:tblCellMar>
            <w:top w:w="0" w:type="dxa"/>
            <w:left w:w="108" w:type="dxa"/>
            <w:bottom w:w="0" w:type="dxa"/>
            <w:right w:w="108" w:type="dxa"/>
          </w:tblCellMar>
        </w:tblPrEx>
        <w:trPr>
          <w:trHeight w:val="285" w:hRule="atLeast"/>
          <w:jc w:val="center"/>
        </w:trPr>
        <w:tc>
          <w:tcPr>
            <w:tcW w:w="423" w:type="pct"/>
            <w:vMerge w:val="continue"/>
            <w:tcBorders>
              <w:top w:val="nil"/>
              <w:left w:val="single" w:color="auto" w:sz="4" w:space="0"/>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p>
        </w:tc>
        <w:tc>
          <w:tcPr>
            <w:tcW w:w="665"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电源</w:t>
            </w:r>
          </w:p>
        </w:tc>
        <w:tc>
          <w:tcPr>
            <w:tcW w:w="2291" w:type="pct"/>
            <w:vMerge w:val="continue"/>
            <w:tcBorders>
              <w:top w:val="nil"/>
              <w:left w:val="single" w:color="auto" w:sz="4" w:space="0"/>
              <w:bottom w:val="single" w:color="000000" w:sz="4" w:space="0"/>
              <w:right w:val="single" w:color="auto" w:sz="4" w:space="0"/>
            </w:tcBorders>
            <w:vAlign w:val="center"/>
          </w:tcPr>
          <w:p>
            <w:pPr>
              <w:spacing w:before="36" w:beforeLines="10" w:after="36" w:afterLines="10"/>
              <w:rPr>
                <w:rFonts w:ascii="宋体" w:hAnsi="宋体" w:eastAsia="宋体" w:cs="宋体"/>
                <w:color w:val="auto"/>
                <w:sz w:val="21"/>
                <w:szCs w:val="21"/>
              </w:rPr>
            </w:pP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 xml:space="preserve">4 </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台</w:t>
            </w:r>
          </w:p>
        </w:tc>
        <w:tc>
          <w:tcPr>
            <w:tcW w:w="669" w:type="pct"/>
            <w:vMerge w:val="continue"/>
            <w:tcBorders>
              <w:top w:val="nil"/>
              <w:left w:val="single" w:color="auto" w:sz="4" w:space="0"/>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p>
        </w:tc>
      </w:tr>
      <w:tr>
        <w:tblPrEx>
          <w:tblCellMar>
            <w:top w:w="0" w:type="dxa"/>
            <w:left w:w="108" w:type="dxa"/>
            <w:bottom w:w="0" w:type="dxa"/>
            <w:right w:w="108" w:type="dxa"/>
          </w:tblCellMar>
        </w:tblPrEx>
        <w:trPr>
          <w:trHeight w:val="285" w:hRule="atLeast"/>
          <w:jc w:val="center"/>
        </w:trPr>
        <w:tc>
          <w:tcPr>
            <w:tcW w:w="423" w:type="pct"/>
            <w:vMerge w:val="continue"/>
            <w:tcBorders>
              <w:top w:val="nil"/>
              <w:left w:val="single" w:color="auto" w:sz="4" w:space="0"/>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p>
        </w:tc>
        <w:tc>
          <w:tcPr>
            <w:tcW w:w="665"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伸缩滑道</w:t>
            </w:r>
          </w:p>
        </w:tc>
        <w:tc>
          <w:tcPr>
            <w:tcW w:w="2291" w:type="pct"/>
            <w:vMerge w:val="continue"/>
            <w:tcBorders>
              <w:top w:val="nil"/>
              <w:left w:val="single" w:color="auto" w:sz="4" w:space="0"/>
              <w:bottom w:val="single" w:color="000000" w:sz="4" w:space="0"/>
              <w:right w:val="single" w:color="auto" w:sz="4" w:space="0"/>
            </w:tcBorders>
            <w:vAlign w:val="center"/>
          </w:tcPr>
          <w:p>
            <w:pPr>
              <w:spacing w:before="36" w:beforeLines="10" w:after="36" w:afterLines="10"/>
              <w:rPr>
                <w:rFonts w:ascii="宋体" w:hAnsi="宋体" w:eastAsia="宋体" w:cs="宋体"/>
                <w:color w:val="auto"/>
                <w:sz w:val="21"/>
                <w:szCs w:val="21"/>
              </w:rPr>
            </w:pP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 xml:space="preserve">2 </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套</w:t>
            </w:r>
          </w:p>
        </w:tc>
        <w:tc>
          <w:tcPr>
            <w:tcW w:w="669" w:type="pct"/>
            <w:vMerge w:val="continue"/>
            <w:tcBorders>
              <w:top w:val="nil"/>
              <w:left w:val="single" w:color="auto" w:sz="4" w:space="0"/>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p>
        </w:tc>
      </w:tr>
      <w:tr>
        <w:tblPrEx>
          <w:tblCellMar>
            <w:top w:w="0" w:type="dxa"/>
            <w:left w:w="108" w:type="dxa"/>
            <w:bottom w:w="0" w:type="dxa"/>
            <w:right w:w="108" w:type="dxa"/>
          </w:tblCellMar>
        </w:tblPrEx>
        <w:trPr>
          <w:trHeight w:val="285" w:hRule="atLeast"/>
          <w:jc w:val="center"/>
        </w:trPr>
        <w:tc>
          <w:tcPr>
            <w:tcW w:w="423" w:type="pct"/>
            <w:vMerge w:val="continue"/>
            <w:tcBorders>
              <w:top w:val="nil"/>
              <w:left w:val="single" w:color="auto" w:sz="4" w:space="0"/>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p>
        </w:tc>
        <w:tc>
          <w:tcPr>
            <w:tcW w:w="665"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高速线缆</w:t>
            </w:r>
          </w:p>
        </w:tc>
        <w:tc>
          <w:tcPr>
            <w:tcW w:w="2291" w:type="pct"/>
            <w:vMerge w:val="continue"/>
            <w:tcBorders>
              <w:top w:val="nil"/>
              <w:left w:val="single" w:color="auto" w:sz="4" w:space="0"/>
              <w:bottom w:val="single" w:color="000000" w:sz="4" w:space="0"/>
              <w:right w:val="single" w:color="auto" w:sz="4" w:space="0"/>
            </w:tcBorders>
            <w:vAlign w:val="center"/>
          </w:tcPr>
          <w:p>
            <w:pPr>
              <w:spacing w:before="36" w:beforeLines="10" w:after="36" w:afterLines="10"/>
              <w:rPr>
                <w:rFonts w:ascii="宋体" w:hAnsi="宋体" w:eastAsia="宋体" w:cs="宋体"/>
                <w:color w:val="auto"/>
                <w:sz w:val="21"/>
                <w:szCs w:val="21"/>
              </w:rPr>
            </w:pP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 xml:space="preserve">24 </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条</w:t>
            </w:r>
          </w:p>
        </w:tc>
        <w:tc>
          <w:tcPr>
            <w:tcW w:w="669" w:type="pct"/>
            <w:vMerge w:val="continue"/>
            <w:tcBorders>
              <w:top w:val="nil"/>
              <w:left w:val="single" w:color="auto" w:sz="4" w:space="0"/>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p>
        </w:tc>
      </w:tr>
      <w:tr>
        <w:tblPrEx>
          <w:tblCellMar>
            <w:top w:w="0" w:type="dxa"/>
            <w:left w:w="108" w:type="dxa"/>
            <w:bottom w:w="0" w:type="dxa"/>
            <w:right w:w="108" w:type="dxa"/>
          </w:tblCellMar>
        </w:tblPrEx>
        <w:trPr>
          <w:trHeight w:val="1680"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 xml:space="preserve">2 </w:t>
            </w:r>
          </w:p>
        </w:tc>
        <w:tc>
          <w:tcPr>
            <w:tcW w:w="665"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万兆光模块</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光模块-SFP+-10G-BIDI单模模块(TX 1330nm/RX 1270nm,10km,LC)</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 xml:space="preserve">6 </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块</w:t>
            </w:r>
          </w:p>
        </w:tc>
        <w:tc>
          <w:tcPr>
            <w:tcW w:w="669"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接入市局每个端口和预留端口需各配置1对（共6个）</w:t>
            </w:r>
          </w:p>
        </w:tc>
      </w:tr>
      <w:tr>
        <w:tblPrEx>
          <w:tblCellMar>
            <w:top w:w="0" w:type="dxa"/>
            <w:left w:w="108" w:type="dxa"/>
            <w:bottom w:w="0" w:type="dxa"/>
            <w:right w:w="108" w:type="dxa"/>
          </w:tblCellMar>
        </w:tblPrEx>
        <w:trPr>
          <w:trHeight w:val="285" w:hRule="atLeast"/>
          <w:jc w:val="center"/>
        </w:trPr>
        <w:tc>
          <w:tcPr>
            <w:tcW w:w="1088" w:type="pct"/>
            <w:gridSpan w:val="2"/>
            <w:tcBorders>
              <w:top w:val="single" w:color="auto" w:sz="4" w:space="0"/>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派出所核心设备</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　</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　</w:t>
            </w:r>
          </w:p>
        </w:tc>
        <w:tc>
          <w:tcPr>
            <w:tcW w:w="669"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720"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 xml:space="preserve">1 </w:t>
            </w:r>
          </w:p>
        </w:tc>
        <w:tc>
          <w:tcPr>
            <w:tcW w:w="665"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汇聚交换机</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详见主要设备技术要求</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 xml:space="preserve">3 </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台</w:t>
            </w:r>
          </w:p>
        </w:tc>
        <w:tc>
          <w:tcPr>
            <w:tcW w:w="669" w:type="pct"/>
            <w:tcBorders>
              <w:top w:val="nil"/>
              <w:left w:val="nil"/>
              <w:bottom w:val="single" w:color="auto" w:sz="4" w:space="0"/>
              <w:right w:val="single" w:color="auto" w:sz="4" w:space="0"/>
            </w:tcBorders>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二个派出所加交警大队</w:t>
            </w:r>
          </w:p>
        </w:tc>
      </w:tr>
      <w:tr>
        <w:tblPrEx>
          <w:tblCellMar>
            <w:top w:w="0" w:type="dxa"/>
            <w:left w:w="108" w:type="dxa"/>
            <w:bottom w:w="0" w:type="dxa"/>
            <w:right w:w="108" w:type="dxa"/>
          </w:tblCellMar>
        </w:tblPrEx>
        <w:trPr>
          <w:trHeight w:val="720"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 xml:space="preserve">2 </w:t>
            </w:r>
          </w:p>
        </w:tc>
        <w:tc>
          <w:tcPr>
            <w:tcW w:w="665"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万兆光模块</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光模块-SFP+-10G-BIDI单模模块(TX 1330nm/RX 1270nm,10km,LC)</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 xml:space="preserve">6 </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块</w:t>
            </w:r>
          </w:p>
        </w:tc>
        <w:tc>
          <w:tcPr>
            <w:tcW w:w="669" w:type="pct"/>
            <w:tcBorders>
              <w:top w:val="nil"/>
              <w:left w:val="nil"/>
              <w:bottom w:val="single" w:color="auto" w:sz="4" w:space="0"/>
              <w:right w:val="single" w:color="auto" w:sz="4" w:space="0"/>
            </w:tcBorders>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二个派出所加交警大队</w:t>
            </w:r>
          </w:p>
        </w:tc>
      </w:tr>
      <w:tr>
        <w:tblPrEx>
          <w:tblCellMar>
            <w:top w:w="0" w:type="dxa"/>
            <w:left w:w="108" w:type="dxa"/>
            <w:bottom w:w="0" w:type="dxa"/>
            <w:right w:w="108" w:type="dxa"/>
          </w:tblCellMar>
        </w:tblPrEx>
        <w:trPr>
          <w:trHeight w:val="330" w:hRule="atLeast"/>
          <w:jc w:val="center"/>
        </w:trPr>
        <w:tc>
          <w:tcPr>
            <w:tcW w:w="5000" w:type="pct"/>
            <w:gridSpan w:val="6"/>
            <w:tcBorders>
              <w:top w:val="single" w:color="auto" w:sz="4" w:space="0"/>
              <w:left w:val="single" w:color="auto" w:sz="4" w:space="0"/>
              <w:bottom w:val="single" w:color="auto" w:sz="4" w:space="0"/>
              <w:right w:val="single" w:color="000000" w:sz="4" w:space="0"/>
            </w:tcBorders>
            <w:noWrap/>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卡口全景摄像机子系统</w:t>
            </w:r>
          </w:p>
        </w:tc>
      </w:tr>
      <w:tr>
        <w:tblPrEx>
          <w:tblCellMar>
            <w:top w:w="0" w:type="dxa"/>
            <w:left w:w="108" w:type="dxa"/>
            <w:bottom w:w="0" w:type="dxa"/>
            <w:right w:w="108" w:type="dxa"/>
          </w:tblCellMar>
        </w:tblPrEx>
        <w:trPr>
          <w:trHeight w:val="285" w:hRule="atLeast"/>
          <w:jc w:val="center"/>
        </w:trPr>
        <w:tc>
          <w:tcPr>
            <w:tcW w:w="423" w:type="pct"/>
            <w:tcBorders>
              <w:top w:val="nil"/>
              <w:left w:val="single" w:color="auto" w:sz="4" w:space="0"/>
              <w:bottom w:val="single" w:color="auto" w:sz="4" w:space="0"/>
              <w:right w:val="single" w:color="auto" w:sz="4" w:space="0"/>
            </w:tcBorders>
            <w:noWrap/>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66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设备名称</w:t>
            </w:r>
          </w:p>
        </w:tc>
        <w:tc>
          <w:tcPr>
            <w:tcW w:w="2291"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设备参数</w:t>
            </w:r>
          </w:p>
        </w:tc>
        <w:tc>
          <w:tcPr>
            <w:tcW w:w="504"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445" w:type="pct"/>
            <w:tcBorders>
              <w:top w:val="nil"/>
              <w:left w:val="nil"/>
              <w:bottom w:val="single" w:color="auto" w:sz="4" w:space="0"/>
              <w:right w:val="single" w:color="auto" w:sz="4" w:space="0"/>
            </w:tcBorders>
            <w:noWrap/>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285" w:hRule="atLeast"/>
          <w:jc w:val="center"/>
        </w:trPr>
        <w:tc>
          <w:tcPr>
            <w:tcW w:w="3380" w:type="pct"/>
            <w:gridSpan w:val="3"/>
            <w:tcBorders>
              <w:top w:val="single" w:color="auto" w:sz="4" w:space="0"/>
              <w:left w:val="single" w:color="auto" w:sz="4" w:space="0"/>
              <w:bottom w:val="single" w:color="auto" w:sz="4" w:space="0"/>
              <w:right w:val="single" w:color="auto" w:sz="4" w:space="0"/>
            </w:tcBorders>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前端设备部分</w:t>
            </w:r>
          </w:p>
        </w:tc>
        <w:tc>
          <w:tcPr>
            <w:tcW w:w="504"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b/>
                <w:bCs/>
                <w:color w:val="auto"/>
                <w:sz w:val="21"/>
                <w:szCs w:val="21"/>
              </w:rPr>
            </w:pPr>
            <w:r>
              <w:rPr>
                <w:rFonts w:hint="eastAsia" w:ascii="宋体" w:hAnsi="宋体" w:eastAsia="宋体" w:cs="宋体"/>
                <w:b/>
                <w:bCs/>
                <w:color w:val="auto"/>
                <w:sz w:val="21"/>
                <w:szCs w:val="21"/>
              </w:rPr>
              <w:t>　</w:t>
            </w:r>
          </w:p>
        </w:tc>
        <w:tc>
          <w:tcPr>
            <w:tcW w:w="445"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b/>
                <w:bCs/>
                <w:color w:val="auto"/>
                <w:sz w:val="21"/>
                <w:szCs w:val="21"/>
              </w:rPr>
            </w:pPr>
            <w:r>
              <w:rPr>
                <w:rFonts w:hint="eastAsia" w:ascii="宋体" w:hAnsi="宋体" w:eastAsia="宋体" w:cs="宋体"/>
                <w:b/>
                <w:bCs/>
                <w:color w:val="auto"/>
                <w:sz w:val="21"/>
                <w:szCs w:val="21"/>
              </w:rPr>
              <w:t>　</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480" w:hRule="atLeast"/>
          <w:jc w:val="center"/>
        </w:trPr>
        <w:tc>
          <w:tcPr>
            <w:tcW w:w="423" w:type="pct"/>
            <w:tcBorders>
              <w:top w:val="nil"/>
              <w:left w:val="single" w:color="auto" w:sz="4" w:space="0"/>
              <w:bottom w:val="single" w:color="auto" w:sz="4" w:space="0"/>
              <w:right w:val="single" w:color="auto" w:sz="4" w:space="0"/>
            </w:tcBorders>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665"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200w黑光级智能球机</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详见主要设备技术要求</w:t>
            </w:r>
          </w:p>
        </w:tc>
        <w:tc>
          <w:tcPr>
            <w:tcW w:w="504" w:type="pct"/>
            <w:tcBorders>
              <w:top w:val="nil"/>
              <w:left w:val="nil"/>
              <w:bottom w:val="single" w:color="auto" w:sz="4" w:space="0"/>
              <w:right w:val="single" w:color="auto" w:sz="4" w:space="0"/>
            </w:tcBorders>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8</w:t>
            </w:r>
          </w:p>
        </w:tc>
        <w:tc>
          <w:tcPr>
            <w:tcW w:w="445" w:type="pct"/>
            <w:tcBorders>
              <w:top w:val="nil"/>
              <w:left w:val="nil"/>
              <w:bottom w:val="single" w:color="auto" w:sz="4" w:space="0"/>
              <w:right w:val="single" w:color="auto" w:sz="4" w:space="0"/>
            </w:tcBorders>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台</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rPr>
          <w:trHeight w:val="720" w:hRule="atLeast"/>
          <w:jc w:val="center"/>
        </w:trPr>
        <w:tc>
          <w:tcPr>
            <w:tcW w:w="423" w:type="pct"/>
            <w:tcBorders>
              <w:top w:val="nil"/>
              <w:left w:val="single" w:color="auto" w:sz="4" w:space="0"/>
              <w:bottom w:val="single" w:color="auto" w:sz="4" w:space="0"/>
              <w:right w:val="single" w:color="auto" w:sz="4" w:space="0"/>
            </w:tcBorders>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665"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电源、网络二合一防雷器</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网络防雷器、标称放电电流5KA（RJ45进出端子）；12V、24V兼容，交直流兼容电源防雷</w:t>
            </w:r>
          </w:p>
        </w:tc>
        <w:tc>
          <w:tcPr>
            <w:tcW w:w="504" w:type="pct"/>
            <w:tcBorders>
              <w:top w:val="nil"/>
              <w:left w:val="nil"/>
              <w:bottom w:val="single" w:color="auto" w:sz="4" w:space="0"/>
              <w:right w:val="single" w:color="auto" w:sz="4" w:space="0"/>
            </w:tcBorders>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8</w:t>
            </w:r>
          </w:p>
        </w:tc>
        <w:tc>
          <w:tcPr>
            <w:tcW w:w="445" w:type="pct"/>
            <w:tcBorders>
              <w:top w:val="nil"/>
              <w:left w:val="nil"/>
              <w:bottom w:val="single" w:color="auto" w:sz="4" w:space="0"/>
              <w:right w:val="single" w:color="auto" w:sz="4" w:space="0"/>
            </w:tcBorders>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个</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285" w:hRule="atLeast"/>
          <w:jc w:val="center"/>
        </w:trPr>
        <w:tc>
          <w:tcPr>
            <w:tcW w:w="3380" w:type="pct"/>
            <w:gridSpan w:val="3"/>
            <w:tcBorders>
              <w:top w:val="single" w:color="auto" w:sz="4" w:space="0"/>
              <w:left w:val="single" w:color="auto" w:sz="4" w:space="0"/>
              <w:bottom w:val="single" w:color="auto" w:sz="4" w:space="0"/>
              <w:right w:val="single" w:color="auto" w:sz="4" w:space="0"/>
            </w:tcBorders>
            <w:vAlign w:val="center"/>
          </w:tcPr>
          <w:p>
            <w:pPr>
              <w:spacing w:before="36" w:beforeLines="10" w:after="36" w:afterLines="10"/>
              <w:jc w:val="center"/>
              <w:rPr>
                <w:rFonts w:ascii="宋体" w:hAnsi="宋体" w:eastAsia="宋体" w:cs="宋体"/>
                <w:b/>
                <w:bCs/>
                <w:color w:val="auto"/>
                <w:sz w:val="21"/>
                <w:szCs w:val="21"/>
              </w:rPr>
            </w:pPr>
            <w:r>
              <w:rPr>
                <w:rFonts w:hint="eastAsia" w:ascii="宋体" w:hAnsi="宋体" w:eastAsia="宋体" w:cs="宋体"/>
                <w:b/>
                <w:bCs/>
                <w:color w:val="auto"/>
                <w:sz w:val="21"/>
                <w:szCs w:val="21"/>
              </w:rPr>
              <w:t>工程材料及取电部分</w:t>
            </w:r>
          </w:p>
        </w:tc>
        <w:tc>
          <w:tcPr>
            <w:tcW w:w="504" w:type="pct"/>
            <w:tcBorders>
              <w:top w:val="nil"/>
              <w:left w:val="nil"/>
              <w:bottom w:val="single" w:color="auto" w:sz="4" w:space="0"/>
              <w:right w:val="single" w:color="auto" w:sz="4" w:space="0"/>
            </w:tcBorders>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　</w:t>
            </w:r>
          </w:p>
        </w:tc>
        <w:tc>
          <w:tcPr>
            <w:tcW w:w="445" w:type="pct"/>
            <w:tcBorders>
              <w:top w:val="nil"/>
              <w:left w:val="nil"/>
              <w:bottom w:val="single" w:color="auto" w:sz="4" w:space="0"/>
              <w:right w:val="single" w:color="auto" w:sz="4" w:space="0"/>
            </w:tcBorders>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　</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285" w:hRule="atLeast"/>
          <w:jc w:val="center"/>
        </w:trPr>
        <w:tc>
          <w:tcPr>
            <w:tcW w:w="423" w:type="pct"/>
            <w:tcBorders>
              <w:top w:val="nil"/>
              <w:left w:val="single" w:color="auto" w:sz="4" w:space="0"/>
              <w:bottom w:val="single" w:color="auto" w:sz="4" w:space="0"/>
              <w:right w:val="single" w:color="auto" w:sz="4" w:space="0"/>
            </w:tcBorders>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665"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网线</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室外专用五类非屏蔽网线</w:t>
            </w:r>
          </w:p>
        </w:tc>
        <w:tc>
          <w:tcPr>
            <w:tcW w:w="504" w:type="pct"/>
            <w:tcBorders>
              <w:top w:val="nil"/>
              <w:left w:val="nil"/>
              <w:bottom w:val="single" w:color="auto" w:sz="4" w:space="0"/>
              <w:right w:val="single" w:color="auto" w:sz="4" w:space="0"/>
            </w:tcBorders>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445" w:type="pct"/>
            <w:tcBorders>
              <w:top w:val="nil"/>
              <w:left w:val="nil"/>
              <w:bottom w:val="single" w:color="auto" w:sz="4" w:space="0"/>
              <w:right w:val="single" w:color="auto" w:sz="4" w:space="0"/>
            </w:tcBorders>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箱</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285" w:hRule="atLeast"/>
          <w:jc w:val="center"/>
        </w:trPr>
        <w:tc>
          <w:tcPr>
            <w:tcW w:w="423" w:type="pct"/>
            <w:tcBorders>
              <w:top w:val="nil"/>
              <w:left w:val="single" w:color="auto" w:sz="4" w:space="0"/>
              <w:bottom w:val="single" w:color="auto" w:sz="4" w:space="0"/>
              <w:right w:val="single" w:color="auto" w:sz="4" w:space="0"/>
            </w:tcBorders>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665"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摄像电源线</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摄像机到设备箱取电</w:t>
            </w:r>
          </w:p>
        </w:tc>
        <w:tc>
          <w:tcPr>
            <w:tcW w:w="504" w:type="pct"/>
            <w:tcBorders>
              <w:top w:val="nil"/>
              <w:left w:val="nil"/>
              <w:bottom w:val="single" w:color="auto" w:sz="4" w:space="0"/>
              <w:right w:val="single" w:color="auto" w:sz="4" w:space="0"/>
            </w:tcBorders>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260</w:t>
            </w:r>
          </w:p>
        </w:tc>
        <w:tc>
          <w:tcPr>
            <w:tcW w:w="445" w:type="pct"/>
            <w:tcBorders>
              <w:top w:val="nil"/>
              <w:left w:val="nil"/>
              <w:bottom w:val="single" w:color="auto" w:sz="4" w:space="0"/>
              <w:right w:val="single" w:color="auto" w:sz="4" w:space="0"/>
            </w:tcBorders>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米</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285" w:hRule="atLeast"/>
          <w:jc w:val="center"/>
        </w:trPr>
        <w:tc>
          <w:tcPr>
            <w:tcW w:w="423" w:type="pct"/>
            <w:tcBorders>
              <w:top w:val="nil"/>
              <w:left w:val="single" w:color="auto" w:sz="4" w:space="0"/>
              <w:bottom w:val="single" w:color="auto" w:sz="4" w:space="0"/>
              <w:right w:val="single" w:color="auto" w:sz="4" w:space="0"/>
            </w:tcBorders>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665"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工程辅材</w:t>
            </w:r>
          </w:p>
        </w:tc>
        <w:tc>
          <w:tcPr>
            <w:tcW w:w="2291" w:type="pct"/>
            <w:tcBorders>
              <w:top w:val="nil"/>
              <w:left w:val="nil"/>
              <w:bottom w:val="single" w:color="auto" w:sz="4" w:space="0"/>
              <w:right w:val="single" w:color="auto" w:sz="4" w:space="0"/>
            </w:tcBorders>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水晶头，网线跳线、PVC线管、线管配件、五金材料等</w:t>
            </w:r>
          </w:p>
        </w:tc>
        <w:tc>
          <w:tcPr>
            <w:tcW w:w="504" w:type="pct"/>
            <w:tcBorders>
              <w:top w:val="nil"/>
              <w:left w:val="nil"/>
              <w:bottom w:val="single" w:color="auto" w:sz="4" w:space="0"/>
              <w:right w:val="single" w:color="auto" w:sz="4" w:space="0"/>
            </w:tcBorders>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445" w:type="pct"/>
            <w:tcBorders>
              <w:top w:val="nil"/>
              <w:left w:val="nil"/>
              <w:bottom w:val="single" w:color="auto" w:sz="4" w:space="0"/>
              <w:right w:val="single" w:color="auto" w:sz="4" w:space="0"/>
            </w:tcBorders>
            <w:vAlign w:val="center"/>
          </w:tcPr>
          <w:p>
            <w:pPr>
              <w:spacing w:before="36" w:beforeLines="10" w:after="36" w:afterLines="10"/>
              <w:jc w:val="center"/>
              <w:rPr>
                <w:rFonts w:ascii="宋体" w:hAnsi="宋体" w:eastAsia="宋体" w:cs="宋体"/>
                <w:color w:val="auto"/>
                <w:sz w:val="21"/>
                <w:szCs w:val="21"/>
              </w:rPr>
            </w:pPr>
            <w:r>
              <w:rPr>
                <w:rFonts w:hint="eastAsia" w:ascii="宋体" w:hAnsi="宋体" w:eastAsia="宋体" w:cs="宋体"/>
                <w:color w:val="auto"/>
                <w:sz w:val="21"/>
                <w:szCs w:val="21"/>
              </w:rPr>
              <w:t>项</w:t>
            </w:r>
          </w:p>
        </w:tc>
        <w:tc>
          <w:tcPr>
            <w:tcW w:w="669" w:type="pct"/>
            <w:tcBorders>
              <w:top w:val="nil"/>
              <w:left w:val="nil"/>
              <w:bottom w:val="single" w:color="auto" w:sz="4" w:space="0"/>
              <w:right w:val="single" w:color="auto" w:sz="4" w:space="0"/>
            </w:tcBorders>
            <w:noWrap/>
            <w:vAlign w:val="center"/>
          </w:tcPr>
          <w:p>
            <w:pPr>
              <w:spacing w:before="36" w:beforeLines="10" w:after="36" w:afterLines="10"/>
              <w:rPr>
                <w:rFonts w:ascii="宋体" w:hAnsi="宋体" w:eastAsia="宋体" w:cs="宋体"/>
                <w:color w:val="auto"/>
                <w:sz w:val="21"/>
                <w:szCs w:val="21"/>
              </w:rPr>
            </w:pPr>
            <w:r>
              <w:rPr>
                <w:rFonts w:hint="eastAsia" w:ascii="宋体" w:hAnsi="宋体" w:eastAsia="宋体" w:cs="宋体"/>
                <w:color w:val="auto"/>
                <w:sz w:val="21"/>
                <w:szCs w:val="21"/>
              </w:rPr>
              <w:t>　</w:t>
            </w:r>
          </w:p>
        </w:tc>
      </w:tr>
    </w:tbl>
    <w:p>
      <w:pPr>
        <w:spacing w:after="0"/>
        <w:ind w:firstLine="422" w:firstLineChars="200"/>
        <w:rPr>
          <w:rFonts w:ascii="宋体" w:hAnsi="宋体" w:eastAsia="宋体" w:cs="宋体"/>
          <w:b/>
          <w:color w:val="auto"/>
          <w:sz w:val="21"/>
          <w:szCs w:val="21"/>
        </w:rPr>
      </w:pPr>
    </w:p>
    <w:p>
      <w:pPr>
        <w:spacing w:after="0"/>
        <w:ind w:firstLine="422" w:firstLineChars="200"/>
        <w:rPr>
          <w:rFonts w:ascii="宋体" w:hAnsi="宋体" w:eastAsia="宋体" w:cs="宋体"/>
          <w:b/>
          <w:color w:val="auto"/>
          <w:sz w:val="21"/>
          <w:szCs w:val="21"/>
        </w:rPr>
      </w:pPr>
    </w:p>
    <w:p>
      <w:pPr>
        <w:spacing w:after="0"/>
        <w:ind w:firstLine="422" w:firstLineChars="200"/>
        <w:rPr>
          <w:rFonts w:ascii="宋体" w:hAnsi="宋体" w:eastAsia="宋体" w:cs="宋体"/>
          <w:b/>
          <w:color w:val="auto"/>
          <w:sz w:val="21"/>
          <w:szCs w:val="21"/>
        </w:rPr>
      </w:pPr>
    </w:p>
    <w:p>
      <w:pPr>
        <w:rPr>
          <w:rFonts w:ascii="宋体" w:hAnsi="宋体" w:eastAsia="宋体" w:cs="宋体"/>
          <w:b/>
          <w:bCs/>
          <w:color w:val="auto"/>
          <w:sz w:val="28"/>
          <w:szCs w:val="28"/>
        </w:rPr>
      </w:pPr>
      <w:bookmarkStart w:id="55" w:name="_Toc449638999"/>
      <w:r>
        <w:rPr>
          <w:rFonts w:hint="eastAsia" w:ascii="宋体" w:hAnsi="宋体" w:eastAsia="宋体" w:cs="宋体"/>
          <w:b/>
          <w:bCs/>
          <w:color w:val="auto"/>
          <w:sz w:val="28"/>
          <w:szCs w:val="28"/>
        </w:rPr>
        <w:br w:type="page"/>
      </w:r>
    </w:p>
    <w:p>
      <w:pPr>
        <w:pStyle w:val="3"/>
        <w:numPr>
          <w:ilvl w:val="0"/>
          <w:numId w:val="0"/>
        </w:numPr>
        <w:tabs>
          <w:tab w:val="clear" w:pos="432"/>
        </w:tabs>
        <w:autoSpaceDE w:val="0"/>
        <w:autoSpaceDN w:val="0"/>
        <w:spacing w:before="180" w:beforeLines="50" w:after="180" w:afterLines="50"/>
        <w:jc w:val="left"/>
        <w:textAlignment w:val="baseline"/>
        <w:rPr>
          <w:rFonts w:ascii="宋体" w:hAnsi="宋体" w:eastAsia="宋体" w:cs="宋体"/>
          <w:b/>
          <w:bCs/>
          <w:color w:val="auto"/>
          <w:sz w:val="28"/>
          <w:szCs w:val="28"/>
        </w:rPr>
      </w:pPr>
      <w:r>
        <w:rPr>
          <w:rFonts w:hint="eastAsia" w:ascii="宋体" w:hAnsi="宋体" w:eastAsia="宋体" w:cs="宋体"/>
          <w:b/>
          <w:bCs/>
          <w:color w:val="auto"/>
          <w:sz w:val="28"/>
          <w:szCs w:val="28"/>
        </w:rPr>
        <w:t>9、商务要求</w:t>
      </w:r>
      <w:bookmarkEnd w:id="55"/>
    </w:p>
    <w:p>
      <w:pPr>
        <w:pStyle w:val="4"/>
        <w:autoSpaceDE w:val="0"/>
        <w:autoSpaceDN w:val="0"/>
        <w:spacing w:before="72" w:beforeLines="20" w:after="72" w:afterLines="20" w:line="240" w:lineRule="auto"/>
        <w:textAlignment w:val="baseline"/>
        <w:rPr>
          <w:rFonts w:ascii="宋体" w:hAnsi="宋体" w:eastAsia="宋体" w:cs="宋体"/>
          <w:color w:val="auto"/>
          <w:sz w:val="21"/>
          <w:szCs w:val="21"/>
        </w:rPr>
      </w:pPr>
      <w:r>
        <w:rPr>
          <w:rFonts w:hint="eastAsia" w:ascii="宋体" w:hAnsi="宋体" w:eastAsia="宋体" w:cs="宋体"/>
          <w:color w:val="auto"/>
          <w:sz w:val="21"/>
          <w:szCs w:val="21"/>
        </w:rPr>
        <w:t>9.1 ★报价方式</w:t>
      </w:r>
    </w:p>
    <w:p>
      <w:pPr>
        <w:pStyle w:val="24"/>
        <w:spacing w:after="0"/>
        <w:rPr>
          <w:rFonts w:ascii="宋体" w:hAnsi="宋体" w:eastAsia="宋体" w:cs="宋体"/>
          <w:color w:val="auto"/>
          <w:sz w:val="21"/>
          <w:szCs w:val="21"/>
        </w:rPr>
      </w:pPr>
      <w:r>
        <w:rPr>
          <w:rFonts w:hint="eastAsia" w:ascii="宋体" w:hAnsi="宋体" w:eastAsia="宋体" w:cs="宋体"/>
          <w:color w:val="auto"/>
          <w:sz w:val="21"/>
          <w:szCs w:val="21"/>
        </w:rPr>
        <w:t>1、投标人的投标报价应为达到正常使用条件下的目的地验价，包括设备款、相关税款、备品备件款、易损耗价、专用工具价、售后及技术服务费、安装调试费用及运送到指定地点的运杂费、装卸费、</w:t>
      </w:r>
      <w:r>
        <w:rPr>
          <w:rFonts w:hint="eastAsia" w:ascii="宋体" w:hAnsi="宋体" w:eastAsia="宋体" w:cs="宋体"/>
          <w:b/>
          <w:color w:val="auto"/>
          <w:sz w:val="21"/>
          <w:szCs w:val="21"/>
          <w:u w:val="single"/>
        </w:rPr>
        <w:t>前端设备电费</w:t>
      </w:r>
      <w:r>
        <w:rPr>
          <w:rFonts w:hint="eastAsia" w:ascii="宋体" w:hAnsi="宋体" w:eastAsia="宋体" w:cs="宋体"/>
          <w:color w:val="auto"/>
          <w:sz w:val="21"/>
          <w:szCs w:val="21"/>
        </w:rPr>
        <w:t>等与招投标相关的、必须的款项及费用（包含未列明而完成交验所必须的所有设备、材料、工具等费用）。</w:t>
      </w:r>
    </w:p>
    <w:p>
      <w:pPr>
        <w:pStyle w:val="24"/>
        <w:spacing w:after="0"/>
        <w:rPr>
          <w:rFonts w:ascii="宋体" w:hAnsi="宋体" w:eastAsia="宋体" w:cs="宋体"/>
          <w:color w:val="auto"/>
          <w:sz w:val="21"/>
          <w:szCs w:val="21"/>
        </w:rPr>
      </w:pPr>
      <w:r>
        <w:rPr>
          <w:rFonts w:hint="eastAsia" w:ascii="宋体" w:hAnsi="宋体" w:eastAsia="宋体" w:cs="宋体"/>
          <w:color w:val="auto"/>
          <w:sz w:val="21"/>
          <w:szCs w:val="21"/>
        </w:rPr>
        <w:t>2、在本项目合同期内发生的一切质量问题，采购方有权要求中标单位进行改进，期间所发生的一切费用由中标单位承担。</w:t>
      </w:r>
    </w:p>
    <w:p>
      <w:pPr>
        <w:pStyle w:val="24"/>
        <w:spacing w:after="0"/>
        <w:rPr>
          <w:rFonts w:ascii="宋体" w:hAnsi="宋体" w:eastAsia="宋体" w:cs="宋体"/>
          <w:color w:val="auto"/>
          <w:sz w:val="21"/>
          <w:szCs w:val="21"/>
        </w:rPr>
      </w:pPr>
      <w:r>
        <w:rPr>
          <w:rFonts w:hint="eastAsia" w:ascii="宋体" w:hAnsi="宋体" w:eastAsia="宋体" w:cs="宋体"/>
          <w:color w:val="auto"/>
          <w:sz w:val="21"/>
          <w:szCs w:val="21"/>
        </w:rPr>
        <w:t>3、投标人应以人民币为结算单位。</w:t>
      </w:r>
    </w:p>
    <w:p>
      <w:pPr>
        <w:pStyle w:val="4"/>
        <w:autoSpaceDE w:val="0"/>
        <w:autoSpaceDN w:val="0"/>
        <w:spacing w:before="72" w:beforeLines="20" w:after="72" w:afterLines="20" w:line="240" w:lineRule="auto"/>
        <w:textAlignment w:val="baseline"/>
        <w:rPr>
          <w:rFonts w:ascii="宋体" w:hAnsi="宋体" w:eastAsia="宋体" w:cs="宋体"/>
          <w:color w:val="auto"/>
          <w:sz w:val="21"/>
          <w:szCs w:val="21"/>
        </w:rPr>
      </w:pPr>
      <w:bookmarkStart w:id="56" w:name="_Toc449639000"/>
      <w:r>
        <w:rPr>
          <w:rFonts w:hint="eastAsia" w:ascii="宋体" w:hAnsi="宋体" w:eastAsia="宋体" w:cs="宋体"/>
          <w:color w:val="auto"/>
          <w:sz w:val="21"/>
          <w:szCs w:val="21"/>
        </w:rPr>
        <w:t>9.2 ★项目工期要求</w:t>
      </w:r>
      <w:bookmarkEnd w:id="56"/>
    </w:p>
    <w:p>
      <w:pPr>
        <w:pStyle w:val="24"/>
        <w:spacing w:after="0"/>
        <w:rPr>
          <w:rFonts w:ascii="宋体" w:hAnsi="宋体" w:eastAsia="宋体" w:cs="宋体"/>
          <w:color w:val="auto"/>
          <w:sz w:val="21"/>
          <w:szCs w:val="21"/>
        </w:rPr>
      </w:pPr>
      <w:r>
        <w:rPr>
          <w:rFonts w:hint="eastAsia" w:ascii="宋体" w:hAnsi="宋体" w:eastAsia="宋体" w:cs="宋体"/>
          <w:color w:val="auto"/>
          <w:sz w:val="21"/>
          <w:szCs w:val="21"/>
        </w:rPr>
        <w:t>项目工期：合同签定后</w:t>
      </w:r>
      <w:r>
        <w:rPr>
          <w:rFonts w:hint="eastAsia" w:ascii="宋体" w:hAnsi="宋体" w:eastAsia="宋体" w:cs="宋体"/>
          <w:b/>
          <w:color w:val="auto"/>
          <w:sz w:val="21"/>
          <w:szCs w:val="21"/>
          <w:u w:val="single"/>
        </w:rPr>
        <w:t>60</w:t>
      </w:r>
      <w:r>
        <w:rPr>
          <w:rFonts w:hint="eastAsia" w:ascii="宋体" w:hAnsi="宋体" w:eastAsia="宋体" w:cs="宋体"/>
          <w:color w:val="auto"/>
          <w:sz w:val="21"/>
          <w:szCs w:val="21"/>
        </w:rPr>
        <w:t>天内完成交货、安装、调试具体可安装施工日期可能有变，最终以甲方通知进场时间为准，中标单位必须服从采购方通知的开工日期及地点安排。</w:t>
      </w:r>
    </w:p>
    <w:p>
      <w:pPr>
        <w:pStyle w:val="4"/>
        <w:autoSpaceDE w:val="0"/>
        <w:autoSpaceDN w:val="0"/>
        <w:spacing w:before="72" w:beforeLines="20" w:after="72" w:afterLines="20" w:line="240" w:lineRule="auto"/>
        <w:textAlignment w:val="baseline"/>
        <w:rPr>
          <w:rFonts w:ascii="宋体" w:hAnsi="宋体" w:eastAsia="宋体" w:cs="宋体"/>
          <w:color w:val="auto"/>
          <w:sz w:val="21"/>
          <w:szCs w:val="21"/>
        </w:rPr>
      </w:pPr>
      <w:bookmarkStart w:id="57" w:name="_Toc449639005"/>
      <w:r>
        <w:rPr>
          <w:rFonts w:hint="eastAsia" w:ascii="宋体" w:hAnsi="宋体" w:eastAsia="宋体" w:cs="宋体"/>
          <w:color w:val="auto"/>
          <w:sz w:val="21"/>
          <w:szCs w:val="21"/>
        </w:rPr>
        <w:t>9.3 ★售后服务</w:t>
      </w:r>
      <w:bookmarkEnd w:id="57"/>
    </w:p>
    <w:p>
      <w:pPr>
        <w:pStyle w:val="24"/>
        <w:spacing w:after="0"/>
        <w:rPr>
          <w:rFonts w:ascii="宋体" w:hAnsi="宋体" w:eastAsia="宋体" w:cs="宋体"/>
          <w:color w:val="auto"/>
          <w:sz w:val="21"/>
          <w:szCs w:val="21"/>
        </w:rPr>
      </w:pPr>
      <w:r>
        <w:rPr>
          <w:rFonts w:hint="eastAsia" w:ascii="宋体" w:hAnsi="宋体" w:eastAsia="宋体" w:cs="宋体"/>
          <w:color w:val="auto"/>
          <w:sz w:val="21"/>
          <w:szCs w:val="21"/>
        </w:rPr>
        <w:t>维护期：项目维保期为一年。</w:t>
      </w:r>
    </w:p>
    <w:p>
      <w:pPr>
        <w:pStyle w:val="24"/>
        <w:spacing w:after="0"/>
        <w:rPr>
          <w:rFonts w:ascii="宋体" w:hAnsi="宋体" w:eastAsia="宋体" w:cs="宋体"/>
          <w:color w:val="auto"/>
          <w:sz w:val="21"/>
          <w:szCs w:val="21"/>
        </w:rPr>
      </w:pPr>
      <w:r>
        <w:rPr>
          <w:rFonts w:hint="eastAsia" w:ascii="宋体" w:hAnsi="宋体" w:eastAsia="宋体" w:cs="宋体"/>
          <w:color w:val="auto"/>
          <w:sz w:val="21"/>
          <w:szCs w:val="21"/>
        </w:rPr>
        <w:t>维护范围：所有设备及其他产生的所有费用。</w:t>
      </w:r>
    </w:p>
    <w:p>
      <w:pPr>
        <w:pStyle w:val="4"/>
        <w:autoSpaceDE w:val="0"/>
        <w:autoSpaceDN w:val="0"/>
        <w:spacing w:before="72" w:beforeLines="20" w:after="72" w:afterLines="20" w:line="240" w:lineRule="auto"/>
        <w:textAlignment w:val="baseline"/>
        <w:rPr>
          <w:rFonts w:ascii="宋体" w:hAnsi="宋体" w:eastAsia="宋体" w:cs="宋体"/>
          <w:color w:val="auto"/>
          <w:sz w:val="21"/>
          <w:szCs w:val="21"/>
        </w:rPr>
      </w:pPr>
      <w:r>
        <w:rPr>
          <w:rFonts w:hint="eastAsia" w:ascii="宋体" w:hAnsi="宋体" w:eastAsia="宋体" w:cs="宋体"/>
          <w:color w:val="auto"/>
          <w:sz w:val="21"/>
          <w:szCs w:val="21"/>
        </w:rPr>
        <w:t>9.4 ★付款方式</w:t>
      </w:r>
    </w:p>
    <w:p>
      <w:pPr>
        <w:pStyle w:val="24"/>
        <w:numPr>
          <w:ilvl w:val="0"/>
          <w:numId w:val="3"/>
        </w:numPr>
        <w:spacing w:after="0" w:line="360" w:lineRule="auto"/>
        <w:ind w:firstLineChars="0"/>
        <w:rPr>
          <w:rFonts w:ascii="宋体" w:hAnsi="宋体" w:eastAsia="宋体" w:cs="宋体"/>
          <w:color w:val="auto"/>
          <w:sz w:val="21"/>
          <w:szCs w:val="21"/>
        </w:rPr>
      </w:pPr>
      <w:r>
        <w:rPr>
          <w:rFonts w:hint="eastAsia" w:ascii="宋体" w:hAnsi="宋体" w:eastAsia="宋体" w:cs="宋体"/>
          <w:color w:val="auto"/>
          <w:sz w:val="21"/>
          <w:szCs w:val="21"/>
        </w:rPr>
        <w:t>合同签订后，施工人员正式进场后30个工作日内支付合同总额的15%；</w:t>
      </w:r>
    </w:p>
    <w:p>
      <w:pPr>
        <w:pStyle w:val="24"/>
        <w:numPr>
          <w:ilvl w:val="0"/>
          <w:numId w:val="3"/>
        </w:numPr>
        <w:spacing w:after="0" w:line="360" w:lineRule="auto"/>
        <w:ind w:firstLineChars="0"/>
        <w:rPr>
          <w:rFonts w:ascii="宋体" w:hAnsi="宋体" w:eastAsia="宋体" w:cs="宋体"/>
          <w:color w:val="auto"/>
          <w:sz w:val="21"/>
          <w:szCs w:val="21"/>
        </w:rPr>
      </w:pPr>
      <w:r>
        <w:rPr>
          <w:rFonts w:hint="eastAsia" w:ascii="宋体" w:hAnsi="宋体" w:eastAsia="宋体" w:cs="宋体"/>
          <w:color w:val="auto"/>
          <w:sz w:val="21"/>
          <w:szCs w:val="21"/>
        </w:rPr>
        <w:t>硬件到货验收合格后30个工作日内支付合同总额的55%；</w:t>
      </w:r>
    </w:p>
    <w:p>
      <w:pPr>
        <w:pStyle w:val="24"/>
        <w:numPr>
          <w:ilvl w:val="0"/>
          <w:numId w:val="3"/>
        </w:numPr>
        <w:spacing w:after="0" w:line="360" w:lineRule="auto"/>
        <w:ind w:firstLineChars="0"/>
        <w:rPr>
          <w:rFonts w:ascii="宋体" w:hAnsi="宋体" w:eastAsia="宋体" w:cs="宋体"/>
          <w:color w:val="auto"/>
          <w:sz w:val="21"/>
          <w:szCs w:val="21"/>
        </w:rPr>
      </w:pPr>
      <w:r>
        <w:rPr>
          <w:rFonts w:hint="eastAsia" w:ascii="宋体" w:hAnsi="宋体" w:eastAsia="宋体" w:cs="宋体"/>
          <w:color w:val="auto"/>
          <w:sz w:val="21"/>
          <w:szCs w:val="21"/>
        </w:rPr>
        <w:t>项目终验收合格后30个工作日内支付合同总额的25﹪;</w:t>
      </w:r>
    </w:p>
    <w:p>
      <w:pPr>
        <w:spacing w:after="0" w:line="360" w:lineRule="auto"/>
        <w:ind w:firstLine="420" w:firstLineChars="200"/>
        <w:rPr>
          <w:rFonts w:ascii="宋体" w:hAnsi="宋体" w:eastAsia="宋体" w:cs="Times New Roman"/>
          <w:b/>
          <w:bCs/>
          <w:color w:val="auto"/>
          <w:sz w:val="21"/>
          <w:szCs w:val="21"/>
        </w:rPr>
      </w:pPr>
      <w:r>
        <w:rPr>
          <w:rFonts w:hint="eastAsia" w:ascii="宋体" w:hAnsi="宋体" w:eastAsia="宋体" w:cs="宋体"/>
          <w:color w:val="auto"/>
          <w:sz w:val="21"/>
          <w:szCs w:val="21"/>
        </w:rPr>
        <w:t>4、项目质保期满后30个工作日内付支付合同总额的5%。</w:t>
      </w:r>
    </w:p>
    <w:p>
      <w:pPr>
        <w:spacing w:after="0" w:line="360" w:lineRule="auto"/>
        <w:ind w:firstLine="422" w:firstLineChars="200"/>
        <w:rPr>
          <w:rFonts w:ascii="宋体" w:hAnsi="宋体" w:eastAsia="宋体" w:cs="Times New Roman"/>
          <w:b/>
          <w:bCs/>
          <w:color w:val="auto"/>
          <w:sz w:val="21"/>
          <w:szCs w:val="21"/>
        </w:rPr>
      </w:pPr>
      <w:r>
        <w:rPr>
          <w:rFonts w:hint="eastAsia" w:ascii="宋体" w:hAnsi="宋体" w:eastAsia="宋体" w:cs="Times New Roman"/>
          <w:b/>
          <w:bCs/>
          <w:color w:val="auto"/>
          <w:sz w:val="21"/>
          <w:szCs w:val="21"/>
        </w:rPr>
        <w:t>注：不满足招标文件中 “★”条款的投标文件将作无效投标处理。</w:t>
      </w:r>
      <w:bookmarkEnd w:id="8"/>
      <w:bookmarkEnd w:id="9"/>
      <w:bookmarkEnd w:id="10"/>
      <w:bookmarkEnd w:id="11"/>
    </w:p>
    <w:p>
      <w:pPr>
        <w:pStyle w:val="2"/>
        <w:rPr>
          <w:color w:val="auto"/>
          <w:lang w:val="en-US" w:bidi="ar-SA"/>
        </w:rPr>
      </w:pPr>
    </w:p>
    <w:p>
      <w:pPr>
        <w:pStyle w:val="2"/>
        <w:rPr>
          <w:color w:val="auto"/>
          <w:lang w:val="en-US" w:bidi="ar-SA"/>
        </w:rPr>
      </w:pPr>
    </w:p>
    <w:p>
      <w:pPr>
        <w:pStyle w:val="2"/>
        <w:rPr>
          <w:color w:val="auto"/>
          <w:lang w:val="en-US" w:bidi="ar-SA"/>
        </w:rPr>
      </w:pPr>
    </w:p>
    <w:p>
      <w:pPr>
        <w:pStyle w:val="2"/>
        <w:rPr>
          <w:color w:val="auto"/>
          <w:lang w:val="en-US" w:bidi="ar-SA"/>
        </w:rPr>
      </w:pPr>
    </w:p>
    <w:p>
      <w:pPr>
        <w:pStyle w:val="2"/>
        <w:rPr>
          <w:color w:val="auto"/>
          <w:lang w:val="en-US" w:bidi="ar-SA"/>
        </w:rPr>
      </w:pPr>
    </w:p>
    <w:p>
      <w:pPr>
        <w:pStyle w:val="2"/>
        <w:rPr>
          <w:color w:val="auto"/>
          <w:lang w:val="en-US" w:bidi="ar-SA"/>
        </w:rPr>
      </w:pPr>
    </w:p>
    <w:p>
      <w:pPr>
        <w:pStyle w:val="2"/>
        <w:rPr>
          <w:color w:val="auto"/>
          <w:lang w:val="en-US" w:bidi="ar-SA"/>
        </w:rPr>
      </w:pPr>
    </w:p>
    <w:p>
      <w:pPr>
        <w:pStyle w:val="2"/>
        <w:rPr>
          <w:color w:val="auto"/>
          <w:lang w:val="en-US" w:bidi="ar-SA"/>
        </w:rPr>
      </w:pPr>
    </w:p>
    <w:p>
      <w:pPr>
        <w:pStyle w:val="2"/>
        <w:rPr>
          <w:color w:val="auto"/>
          <w:lang w:val="en-US" w:bidi="ar-SA"/>
        </w:rPr>
      </w:pPr>
    </w:p>
    <w:p>
      <w:pPr>
        <w:pStyle w:val="2"/>
        <w:rPr>
          <w:color w:val="auto"/>
          <w:lang w:val="en-US" w:bidi="ar-SA"/>
        </w:rPr>
      </w:pPr>
    </w:p>
    <w:p>
      <w:pPr>
        <w:pStyle w:val="2"/>
        <w:rPr>
          <w:color w:val="auto"/>
          <w:lang w:val="en-US" w:bidi="ar-SA"/>
        </w:rPr>
      </w:pPr>
    </w:p>
    <w:p>
      <w:pPr>
        <w:pStyle w:val="2"/>
        <w:rPr>
          <w:color w:val="auto"/>
          <w:lang w:val="en-US" w:bidi="ar-SA"/>
        </w:rPr>
      </w:pPr>
    </w:p>
    <w:p>
      <w:pPr>
        <w:pStyle w:val="2"/>
        <w:rPr>
          <w:color w:val="auto"/>
          <w:lang w:val="en-US" w:bidi="ar-SA"/>
        </w:rPr>
      </w:pPr>
    </w:p>
    <w:p>
      <w:pPr>
        <w:pStyle w:val="4"/>
        <w:spacing w:before="0" w:after="0" w:line="240" w:lineRule="auto"/>
        <w:rPr>
          <w:color w:val="auto"/>
          <w:sz w:val="24"/>
          <w:szCs w:val="24"/>
        </w:rPr>
      </w:pPr>
      <w:bookmarkStart w:id="58" w:name="_Toc2479"/>
      <w:r>
        <w:rPr>
          <w:rFonts w:hint="eastAsia"/>
          <w:color w:val="auto"/>
          <w:sz w:val="28"/>
          <w:szCs w:val="28"/>
        </w:rPr>
        <w:t>第四部分 投标人须知</w:t>
      </w:r>
      <w:bookmarkEnd w:id="58"/>
    </w:p>
    <w:p>
      <w:pPr>
        <w:pStyle w:val="5"/>
        <w:numPr>
          <w:ilvl w:val="0"/>
          <w:numId w:val="4"/>
        </w:numPr>
        <w:spacing w:before="0" w:after="0" w:line="480" w:lineRule="auto"/>
        <w:jc w:val="center"/>
        <w:rPr>
          <w:rFonts w:ascii="宋体" w:hAnsi="宋体" w:eastAsia="宋体"/>
          <w:color w:val="auto"/>
        </w:rPr>
      </w:pPr>
      <w:bookmarkStart w:id="59" w:name="_Toc19746"/>
      <w:r>
        <w:rPr>
          <w:rFonts w:hint="eastAsia" w:ascii="宋体" w:hAnsi="宋体" w:eastAsia="宋体"/>
          <w:color w:val="auto"/>
        </w:rPr>
        <w:t>说明</w:t>
      </w:r>
      <w:bookmarkEnd w:id="59"/>
    </w:p>
    <w:p>
      <w:pPr>
        <w:pStyle w:val="6"/>
        <w:widowControl w:val="0"/>
        <w:overflowPunct w:val="0"/>
        <w:spacing w:before="0" w:after="0" w:line="240" w:lineRule="auto"/>
        <w:rPr>
          <w:rFonts w:ascii="宋体" w:hAnsi="宋体" w:eastAsia="宋体"/>
          <w:color w:val="auto"/>
          <w:sz w:val="21"/>
          <w:szCs w:val="21"/>
        </w:rPr>
      </w:pPr>
      <w:bookmarkStart w:id="60" w:name="_Toc18488"/>
      <w:r>
        <w:rPr>
          <w:rFonts w:hint="eastAsia" w:ascii="宋体" w:hAnsi="宋体" w:eastAsia="宋体"/>
          <w:color w:val="auto"/>
          <w:sz w:val="21"/>
          <w:szCs w:val="21"/>
        </w:rPr>
        <w:t>1.适用范围</w:t>
      </w:r>
      <w:bookmarkEnd w:id="60"/>
    </w:p>
    <w:p>
      <w:pPr>
        <w:widowControl w:val="0"/>
        <w:numPr>
          <w:ilvl w:val="1"/>
          <w:numId w:val="5"/>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招标范围：见本文件《用户需求书》</w:t>
      </w:r>
    </w:p>
    <w:p>
      <w:pPr>
        <w:rPr>
          <w:color w:val="auto"/>
        </w:rPr>
      </w:pPr>
    </w:p>
    <w:p>
      <w:pPr>
        <w:pStyle w:val="6"/>
        <w:widowControl w:val="0"/>
        <w:overflowPunct w:val="0"/>
        <w:spacing w:before="0" w:after="0" w:line="240" w:lineRule="auto"/>
        <w:rPr>
          <w:rFonts w:ascii="宋体" w:hAnsi="宋体" w:eastAsia="宋体"/>
          <w:color w:val="auto"/>
          <w:sz w:val="21"/>
          <w:szCs w:val="21"/>
        </w:rPr>
      </w:pPr>
      <w:bookmarkStart w:id="61" w:name="_Toc13400"/>
      <w:r>
        <w:rPr>
          <w:rFonts w:hint="eastAsia" w:ascii="宋体" w:hAnsi="宋体" w:eastAsia="宋体"/>
          <w:color w:val="auto"/>
          <w:sz w:val="21"/>
          <w:szCs w:val="21"/>
        </w:rPr>
        <w:t>2.</w:t>
      </w:r>
      <w:bookmarkStart w:id="62" w:name="_Toc303084246"/>
      <w:bookmarkStart w:id="63" w:name="_Toc382049092"/>
      <w:bookmarkStart w:id="64" w:name="_Toc298847174"/>
      <w:bookmarkStart w:id="65" w:name="_Toc1530"/>
      <w:r>
        <w:rPr>
          <w:rFonts w:hint="eastAsia" w:ascii="宋体" w:hAnsi="宋体" w:eastAsia="宋体"/>
          <w:color w:val="auto"/>
          <w:sz w:val="21"/>
          <w:szCs w:val="21"/>
        </w:rPr>
        <w:t>定义</w:t>
      </w:r>
      <w:bookmarkEnd w:id="61"/>
      <w:bookmarkEnd w:id="62"/>
      <w:bookmarkEnd w:id="63"/>
      <w:bookmarkEnd w:id="64"/>
      <w:bookmarkEnd w:id="65"/>
    </w:p>
    <w:p>
      <w:pPr>
        <w:pStyle w:val="24"/>
        <w:widowControl w:val="0"/>
        <w:numPr>
          <w:ilvl w:val="0"/>
          <w:numId w:val="5"/>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5"/>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采购人：</w:t>
      </w:r>
      <w:r>
        <w:rPr>
          <w:rFonts w:ascii="宋体" w:hAnsi="宋体" w:eastAsia="宋体"/>
          <w:color w:val="auto"/>
          <w:sz w:val="21"/>
          <w:szCs w:val="21"/>
        </w:rPr>
        <w:t>是指依法进行政府采购的国家机关、事业单位</w:t>
      </w:r>
      <w:r>
        <w:rPr>
          <w:rFonts w:hint="eastAsia" w:ascii="宋体" w:hAnsi="宋体" w:eastAsia="宋体"/>
          <w:color w:val="auto"/>
          <w:sz w:val="21"/>
          <w:szCs w:val="21"/>
        </w:rPr>
        <w:t>等</w:t>
      </w:r>
      <w:r>
        <w:rPr>
          <w:rFonts w:ascii="宋体" w:hAnsi="宋体" w:eastAsia="宋体"/>
          <w:color w:val="auto"/>
          <w:sz w:val="21"/>
          <w:szCs w:val="21"/>
        </w:rPr>
        <w:t>团体组织</w:t>
      </w:r>
      <w:r>
        <w:rPr>
          <w:rFonts w:hint="eastAsia" w:ascii="宋体" w:hAnsi="宋体" w:eastAsia="宋体"/>
          <w:color w:val="auto"/>
          <w:sz w:val="21"/>
          <w:szCs w:val="21"/>
        </w:rPr>
        <w:t>。</w:t>
      </w:r>
    </w:p>
    <w:p>
      <w:pPr>
        <w:widowControl w:val="0"/>
        <w:numPr>
          <w:ilvl w:val="1"/>
          <w:numId w:val="5"/>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投标人：响应招标并且符合招标文件规定资格条件和参加投标竞争的法人、其他组织或者自然人。</w:t>
      </w:r>
    </w:p>
    <w:p>
      <w:pPr>
        <w:widowControl w:val="0"/>
        <w:numPr>
          <w:ilvl w:val="1"/>
          <w:numId w:val="5"/>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法人：法人是依法在国内进行注册并具有民事权利能力和民事行为能力，依法独立享有民事权利和承担民事义务的组织。</w:t>
      </w:r>
    </w:p>
    <w:p>
      <w:pPr>
        <w:widowControl w:val="0"/>
        <w:numPr>
          <w:ilvl w:val="1"/>
          <w:numId w:val="5"/>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中标人：指经评标委员会评审推荐、采购人确认的获得本项目中标资格的投标人。</w:t>
      </w:r>
    </w:p>
    <w:p>
      <w:pPr>
        <w:widowControl w:val="0"/>
        <w:numPr>
          <w:ilvl w:val="1"/>
          <w:numId w:val="5"/>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采购代理机构：广东三方诚信招标有限公司东莞分公司。</w:t>
      </w:r>
    </w:p>
    <w:p>
      <w:pPr>
        <w:widowControl w:val="0"/>
        <w:numPr>
          <w:ilvl w:val="1"/>
          <w:numId w:val="5"/>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评标委员会：评标委员会是依据《中华人民共和国政府采购法》及其实施条例、《政府采购货物和服务招标投标管理办法》等组建的专门负责本次招标其评标工作的临时性机构。</w:t>
      </w:r>
    </w:p>
    <w:p>
      <w:pPr>
        <w:widowControl w:val="0"/>
        <w:numPr>
          <w:ilvl w:val="1"/>
          <w:numId w:val="5"/>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合同：指由本次招标所产生的合同或合约文件。</w:t>
      </w:r>
    </w:p>
    <w:p>
      <w:pPr>
        <w:widowControl w:val="0"/>
        <w:numPr>
          <w:ilvl w:val="1"/>
          <w:numId w:val="5"/>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公章：</w:t>
      </w:r>
      <w:r>
        <w:rPr>
          <w:rFonts w:ascii="宋体" w:hAnsi="宋体" w:eastAsia="宋体"/>
          <w:color w:val="auto"/>
          <w:sz w:val="21"/>
          <w:szCs w:val="21"/>
        </w:rPr>
        <w:t>公章是</w:t>
      </w:r>
      <w:r>
        <w:rPr>
          <w:rFonts w:ascii="宋体" w:hAnsi="宋体" w:eastAsia="宋体"/>
          <w:iCs/>
          <w:color w:val="auto"/>
          <w:sz w:val="21"/>
          <w:szCs w:val="21"/>
        </w:rPr>
        <w:t>指</w:t>
      </w:r>
      <w:r>
        <w:rPr>
          <w:rFonts w:hint="eastAsia" w:ascii="宋体" w:hAnsi="宋体" w:eastAsia="宋体"/>
          <w:iCs/>
          <w:color w:val="auto"/>
          <w:sz w:val="21"/>
          <w:szCs w:val="21"/>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color w:val="auto"/>
          <w:sz w:val="21"/>
          <w:szCs w:val="21"/>
        </w:rPr>
        <w:t>）</w:t>
      </w:r>
    </w:p>
    <w:p>
      <w:pPr>
        <w:widowControl w:val="0"/>
        <w:numPr>
          <w:ilvl w:val="1"/>
          <w:numId w:val="5"/>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时间</w:t>
      </w:r>
      <w:r>
        <w:rPr>
          <w:rFonts w:hint="eastAsia" w:ascii="宋体" w:hAnsi="宋体" w:eastAsia="宋体"/>
          <w:iCs/>
          <w:color w:val="auto"/>
          <w:sz w:val="21"/>
          <w:szCs w:val="21"/>
        </w:rPr>
        <w:t>：本文件规定按日计算期间的，开始当天不计入，从次日开始计算。期限的最后一日是国家法定节假日的，顺延到节假日后的次日为期限的最后一日。</w:t>
      </w:r>
    </w:p>
    <w:p>
      <w:pPr>
        <w:rPr>
          <w:color w:val="auto"/>
        </w:rPr>
      </w:pPr>
    </w:p>
    <w:p>
      <w:pPr>
        <w:pStyle w:val="6"/>
        <w:widowControl w:val="0"/>
        <w:overflowPunct w:val="0"/>
        <w:spacing w:before="0" w:after="0" w:line="240" w:lineRule="auto"/>
        <w:rPr>
          <w:rFonts w:ascii="宋体" w:hAnsi="宋体" w:eastAsia="宋体"/>
          <w:color w:val="auto"/>
          <w:sz w:val="21"/>
          <w:szCs w:val="21"/>
        </w:rPr>
      </w:pPr>
      <w:bookmarkStart w:id="66" w:name="_Toc3780"/>
      <w:r>
        <w:rPr>
          <w:rFonts w:hint="eastAsia" w:ascii="宋体" w:hAnsi="宋体" w:eastAsia="宋体"/>
          <w:color w:val="auto"/>
          <w:sz w:val="21"/>
          <w:szCs w:val="21"/>
        </w:rPr>
        <w:t>3.货物和服务</w:t>
      </w:r>
      <w:bookmarkEnd w:id="66"/>
    </w:p>
    <w:p>
      <w:pPr>
        <w:pStyle w:val="24"/>
        <w:widowControl w:val="0"/>
        <w:numPr>
          <w:ilvl w:val="0"/>
          <w:numId w:val="5"/>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5"/>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货物</w:t>
      </w:r>
      <w:r>
        <w:rPr>
          <w:rFonts w:ascii="宋体" w:hAnsi="宋体" w:eastAsia="宋体"/>
          <w:color w:val="auto"/>
          <w:sz w:val="21"/>
          <w:szCs w:val="21"/>
        </w:rPr>
        <w:t>是指各种形态和种类的物品，包括原材料、燃料、设备、产品等</w:t>
      </w:r>
      <w:r>
        <w:rPr>
          <w:rFonts w:hint="eastAsia" w:ascii="宋体" w:hAnsi="宋体" w:eastAsia="宋体"/>
          <w:color w:val="auto"/>
          <w:sz w:val="21"/>
          <w:szCs w:val="21"/>
        </w:rPr>
        <w:t>。</w:t>
      </w:r>
    </w:p>
    <w:p>
      <w:pPr>
        <w:widowControl w:val="0"/>
        <w:numPr>
          <w:ilvl w:val="1"/>
          <w:numId w:val="5"/>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服务是指</w:t>
      </w:r>
      <w:r>
        <w:rPr>
          <w:rFonts w:ascii="宋体" w:hAnsi="宋体" w:eastAsia="宋体"/>
          <w:color w:val="auto"/>
          <w:sz w:val="21"/>
          <w:szCs w:val="21"/>
        </w:rPr>
        <w:t>除货物和工程以外的其他政府采购对象</w:t>
      </w:r>
      <w:r>
        <w:rPr>
          <w:rFonts w:hint="eastAsia" w:ascii="宋体" w:hAnsi="宋体" w:eastAsia="宋体"/>
          <w:color w:val="auto"/>
          <w:sz w:val="21"/>
          <w:szCs w:val="21"/>
        </w:rPr>
        <w:t>。</w:t>
      </w:r>
    </w:p>
    <w:p>
      <w:pPr>
        <w:rPr>
          <w:color w:val="auto"/>
        </w:rPr>
      </w:pPr>
    </w:p>
    <w:p>
      <w:pPr>
        <w:pStyle w:val="6"/>
        <w:widowControl w:val="0"/>
        <w:overflowPunct w:val="0"/>
        <w:spacing w:before="0" w:after="0" w:line="240" w:lineRule="auto"/>
        <w:rPr>
          <w:rFonts w:ascii="宋体" w:hAnsi="宋体" w:eastAsia="宋体"/>
          <w:color w:val="auto"/>
          <w:sz w:val="21"/>
          <w:szCs w:val="21"/>
        </w:rPr>
      </w:pPr>
      <w:bookmarkStart w:id="67" w:name="_Toc15945"/>
      <w:r>
        <w:rPr>
          <w:rFonts w:hint="eastAsia" w:ascii="宋体" w:hAnsi="宋体" w:eastAsia="宋体"/>
          <w:color w:val="auto"/>
          <w:sz w:val="21"/>
          <w:szCs w:val="21"/>
        </w:rPr>
        <w:t>4.投标费用</w:t>
      </w:r>
      <w:bookmarkEnd w:id="67"/>
    </w:p>
    <w:p>
      <w:pPr>
        <w:pStyle w:val="24"/>
        <w:widowControl w:val="0"/>
        <w:numPr>
          <w:ilvl w:val="0"/>
          <w:numId w:val="5"/>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5"/>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after="0" w:line="360" w:lineRule="exact"/>
        <w:jc w:val="both"/>
        <w:rPr>
          <w:rFonts w:ascii="宋体" w:hAnsi="宋体" w:eastAsia="宋体"/>
          <w:color w:val="auto"/>
          <w:sz w:val="21"/>
          <w:szCs w:val="21"/>
        </w:rPr>
      </w:pPr>
    </w:p>
    <w:p>
      <w:pPr>
        <w:pStyle w:val="6"/>
        <w:widowControl w:val="0"/>
        <w:overflowPunct w:val="0"/>
        <w:spacing w:before="0" w:after="0" w:line="240" w:lineRule="auto"/>
        <w:rPr>
          <w:rFonts w:ascii="宋体" w:hAnsi="宋体" w:eastAsia="宋体"/>
          <w:color w:val="auto"/>
          <w:sz w:val="21"/>
          <w:szCs w:val="21"/>
        </w:rPr>
      </w:pPr>
      <w:bookmarkStart w:id="68" w:name="_Toc25040"/>
      <w:r>
        <w:rPr>
          <w:rFonts w:hint="eastAsia" w:ascii="宋体" w:hAnsi="宋体" w:eastAsia="宋体"/>
          <w:color w:val="auto"/>
          <w:sz w:val="21"/>
          <w:szCs w:val="21"/>
        </w:rPr>
        <w:t>5.知识产权</w:t>
      </w:r>
      <w:bookmarkEnd w:id="68"/>
    </w:p>
    <w:p>
      <w:pPr>
        <w:pStyle w:val="24"/>
        <w:widowControl w:val="0"/>
        <w:numPr>
          <w:ilvl w:val="0"/>
          <w:numId w:val="5"/>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5"/>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5"/>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采购人享有本项目实施过程中产生的知识成果及知识产权。</w:t>
      </w:r>
    </w:p>
    <w:p>
      <w:pPr>
        <w:widowControl w:val="0"/>
        <w:numPr>
          <w:ilvl w:val="1"/>
          <w:numId w:val="5"/>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5"/>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采购货物为计算机办公设备时，投标人提供的产品必须是预装正版操作系统软件的计算机产品。</w:t>
      </w:r>
    </w:p>
    <w:p>
      <w:pPr>
        <w:widowControl w:val="0"/>
        <w:numPr>
          <w:ilvl w:val="1"/>
          <w:numId w:val="5"/>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投标人提供的服务、货物经认定存在侵权行为的，其投标无效，并上报相关监管部门。</w:t>
      </w:r>
    </w:p>
    <w:p>
      <w:pPr>
        <w:widowControl w:val="0"/>
        <w:adjustRightInd/>
        <w:snapToGrid/>
        <w:spacing w:after="0" w:line="360" w:lineRule="exact"/>
        <w:ind w:left="567"/>
        <w:jc w:val="both"/>
        <w:rPr>
          <w:rFonts w:ascii="宋体" w:hAnsi="宋体" w:eastAsia="宋体"/>
          <w:color w:val="auto"/>
          <w:sz w:val="21"/>
          <w:szCs w:val="21"/>
        </w:rPr>
      </w:pPr>
    </w:p>
    <w:p>
      <w:pPr>
        <w:pStyle w:val="6"/>
        <w:widowControl w:val="0"/>
        <w:overflowPunct w:val="0"/>
        <w:spacing w:before="0" w:after="0" w:line="240" w:lineRule="auto"/>
        <w:rPr>
          <w:rFonts w:ascii="宋体" w:hAnsi="宋体" w:eastAsia="宋体"/>
          <w:color w:val="auto"/>
          <w:sz w:val="21"/>
          <w:szCs w:val="21"/>
        </w:rPr>
      </w:pPr>
      <w:bookmarkStart w:id="69" w:name="_Toc21930"/>
      <w:r>
        <w:rPr>
          <w:rFonts w:hint="eastAsia" w:ascii="宋体" w:hAnsi="宋体" w:eastAsia="宋体"/>
          <w:color w:val="auto"/>
          <w:sz w:val="21"/>
          <w:szCs w:val="21"/>
        </w:rPr>
        <w:t>6.关于联合体投标</w:t>
      </w:r>
      <w:bookmarkEnd w:id="69"/>
    </w:p>
    <w:p>
      <w:pPr>
        <w:pStyle w:val="24"/>
        <w:widowControl w:val="0"/>
        <w:numPr>
          <w:ilvl w:val="0"/>
          <w:numId w:val="5"/>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5"/>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对接受联合体投标的项目：两个以上的自然人、法人或者其他组织可以组成一个联合体，以一个投标人的身份共同参加政府采购。</w:t>
      </w:r>
    </w:p>
    <w:p>
      <w:pPr>
        <w:widowControl w:val="0"/>
        <w:numPr>
          <w:ilvl w:val="1"/>
          <w:numId w:val="5"/>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联合体各方均应当符合《政府采购法》第二十二条规定的条件。</w:t>
      </w:r>
    </w:p>
    <w:p>
      <w:pPr>
        <w:widowControl w:val="0"/>
        <w:numPr>
          <w:ilvl w:val="1"/>
          <w:numId w:val="5"/>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numPr>
          <w:ilvl w:val="1"/>
          <w:numId w:val="5"/>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采购人根据采购项目的特殊要求规定投标人特定条件的，联合体各方中至少应当有一方符合采购人规定的特定条件。</w:t>
      </w:r>
    </w:p>
    <w:p>
      <w:pPr>
        <w:widowControl w:val="0"/>
        <w:numPr>
          <w:ilvl w:val="1"/>
          <w:numId w:val="5"/>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联合体各方之间应当签订共同投标协议并</w:t>
      </w:r>
      <w:r>
        <w:rPr>
          <w:rFonts w:ascii="宋体" w:hAnsi="宋体" w:eastAsia="宋体"/>
          <w:color w:val="auto"/>
          <w:sz w:val="21"/>
          <w:szCs w:val="21"/>
        </w:rPr>
        <w:t>在投标文件内提交</w:t>
      </w:r>
      <w:r>
        <w:rPr>
          <w:rFonts w:hint="eastAsia" w:ascii="宋体" w:hAnsi="宋体" w:eastAsia="宋体"/>
          <w:color w:val="auto"/>
          <w:sz w:val="21"/>
          <w:szCs w:val="21"/>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5"/>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供应商为联合体的，可以由联合体中的任意一方交纳保证金，其交纳的保证金对联合体各方均具有约束力。</w:t>
      </w:r>
    </w:p>
    <w:p>
      <w:pPr>
        <w:widowControl w:val="0"/>
        <w:numPr>
          <w:ilvl w:val="1"/>
          <w:numId w:val="5"/>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联合体中有同类资质的投标人按照联合体分工承担相同工作的，应当按照资质等级较低的供应商确定资质等级。</w:t>
      </w:r>
    </w:p>
    <w:p>
      <w:pPr>
        <w:widowControl w:val="0"/>
        <w:numPr>
          <w:ilvl w:val="1"/>
          <w:numId w:val="5"/>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联合体各方均为小型、微型企业的，各方均应提供《中小企业声明函》；中小企业声明函作为联合体一方参与政府采购活动，且《共同投标协议书》中约定，小型、微型企业的协议合同金额占到联合体协议合同总金额30%以上的，应附中小微企业的《中小企业声明函》。</w:t>
      </w:r>
    </w:p>
    <w:p>
      <w:pPr>
        <w:widowControl w:val="0"/>
        <w:numPr>
          <w:ilvl w:val="1"/>
          <w:numId w:val="5"/>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除联合体协议明确授权盖章单位外，联合体投标时投标文件中所有要求盖章的地方均须加盖联合体所有组成成员的公章，否则该处盖章无效。</w:t>
      </w:r>
    </w:p>
    <w:p>
      <w:pPr>
        <w:widowControl w:val="0"/>
        <w:numPr>
          <w:ilvl w:val="1"/>
          <w:numId w:val="5"/>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联合体进行评分时，业绩、奖项等的认定和评分根据共同投标协议约定的各方承担的工作和相应责任，确定一方打分，不累加打分，</w:t>
      </w:r>
      <w:r>
        <w:rPr>
          <w:rFonts w:hint="eastAsia" w:ascii="宋体" w:hAnsi="宋体" w:eastAsia="宋体" w:cs="宋体"/>
          <w:color w:val="auto"/>
          <w:sz w:val="21"/>
          <w:szCs w:val="21"/>
        </w:rPr>
        <w:t>若评分项中有明确以哪方为打分主体，则按要求进行评分</w:t>
      </w:r>
      <w:r>
        <w:rPr>
          <w:rFonts w:hint="eastAsia" w:ascii="宋体" w:hAnsi="宋体" w:eastAsia="宋体"/>
          <w:color w:val="auto"/>
          <w:sz w:val="21"/>
          <w:szCs w:val="21"/>
        </w:rPr>
        <w:t>；评审标准不明确或难以明确以哪一方计算评分情况时，则按主体方情况评分。</w:t>
      </w:r>
    </w:p>
    <w:p>
      <w:pPr>
        <w:widowControl w:val="0"/>
        <w:adjustRightInd/>
        <w:snapToGrid/>
        <w:spacing w:after="0" w:line="360" w:lineRule="exact"/>
        <w:ind w:left="567"/>
        <w:jc w:val="both"/>
        <w:rPr>
          <w:rFonts w:ascii="宋体" w:hAnsi="宋体" w:eastAsia="宋体"/>
          <w:color w:val="auto"/>
          <w:sz w:val="21"/>
          <w:szCs w:val="21"/>
        </w:rPr>
      </w:pPr>
    </w:p>
    <w:p>
      <w:pPr>
        <w:pStyle w:val="6"/>
        <w:widowControl w:val="0"/>
        <w:overflowPunct w:val="0"/>
        <w:spacing w:before="0" w:after="0" w:line="240" w:lineRule="auto"/>
        <w:rPr>
          <w:rFonts w:ascii="宋体" w:hAnsi="宋体" w:eastAsia="宋体"/>
          <w:color w:val="auto"/>
          <w:sz w:val="21"/>
          <w:szCs w:val="21"/>
        </w:rPr>
      </w:pPr>
      <w:bookmarkStart w:id="70" w:name="_Toc16571"/>
      <w:r>
        <w:rPr>
          <w:rFonts w:hint="eastAsia" w:ascii="宋体" w:hAnsi="宋体" w:eastAsia="宋体"/>
          <w:color w:val="auto"/>
          <w:sz w:val="21"/>
          <w:szCs w:val="21"/>
        </w:rPr>
        <w:t>7.关于分支机构投标</w:t>
      </w:r>
      <w:bookmarkEnd w:id="70"/>
    </w:p>
    <w:p>
      <w:pPr>
        <w:pStyle w:val="24"/>
        <w:widowControl w:val="0"/>
        <w:numPr>
          <w:ilvl w:val="0"/>
          <w:numId w:val="5"/>
        </w:numPr>
        <w:adjustRightInd/>
        <w:snapToGrid/>
        <w:spacing w:after="0" w:line="360" w:lineRule="exact"/>
        <w:ind w:firstLineChars="0"/>
        <w:jc w:val="both"/>
        <w:rPr>
          <w:rFonts w:ascii="宋体" w:hAnsi="宋体" w:eastAsia="宋体"/>
          <w:vanish/>
          <w:color w:val="auto"/>
          <w:sz w:val="21"/>
          <w:szCs w:val="21"/>
        </w:rPr>
      </w:pPr>
      <w:bookmarkStart w:id="71" w:name="EB389f116341dd4693875bc7987e7327f3"/>
    </w:p>
    <w:p>
      <w:pPr>
        <w:widowControl w:val="0"/>
        <w:numPr>
          <w:ilvl w:val="1"/>
          <w:numId w:val="5"/>
        </w:numPr>
        <w:adjustRightInd/>
        <w:snapToGrid/>
        <w:spacing w:after="0"/>
        <w:jc w:val="both"/>
        <w:rPr>
          <w:rFonts w:ascii="宋体" w:hAnsi="宋体" w:eastAsia="宋体"/>
          <w:color w:val="auto"/>
          <w:sz w:val="21"/>
          <w:szCs w:val="21"/>
        </w:rPr>
      </w:pPr>
      <w:r>
        <w:rPr>
          <w:rFonts w:ascii="宋体" w:hAnsi="宋体" w:eastAsia="宋体"/>
          <w:color w:val="auto"/>
          <w:sz w:val="21"/>
          <w:szCs w:val="21"/>
        </w:rPr>
        <w:t>对可接受</w:t>
      </w:r>
      <w:r>
        <w:rPr>
          <w:rFonts w:hint="eastAsia" w:ascii="宋体" w:hAnsi="宋体" w:eastAsia="宋体"/>
          <w:color w:val="auto"/>
          <w:sz w:val="21"/>
          <w:szCs w:val="21"/>
        </w:rPr>
        <w:t>分支机构</w:t>
      </w:r>
      <w:r>
        <w:rPr>
          <w:rFonts w:ascii="宋体" w:hAnsi="宋体" w:eastAsia="宋体"/>
          <w:color w:val="auto"/>
          <w:sz w:val="21"/>
          <w:szCs w:val="21"/>
        </w:rPr>
        <w:t>投标的项目，</w:t>
      </w:r>
      <w:r>
        <w:rPr>
          <w:rFonts w:hint="eastAsia" w:ascii="宋体" w:hAnsi="宋体" w:eastAsia="宋体"/>
          <w:color w:val="auto"/>
          <w:sz w:val="21"/>
          <w:szCs w:val="21"/>
        </w:rPr>
        <w:t>分支机构</w:t>
      </w:r>
      <w:r>
        <w:rPr>
          <w:rFonts w:ascii="宋体" w:hAnsi="宋体" w:eastAsia="宋体"/>
          <w:color w:val="auto"/>
          <w:sz w:val="21"/>
          <w:szCs w:val="21"/>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1"/>
    </w:p>
    <w:p>
      <w:pPr>
        <w:rPr>
          <w:color w:val="auto"/>
        </w:rPr>
      </w:pPr>
    </w:p>
    <w:p>
      <w:pPr>
        <w:pStyle w:val="5"/>
        <w:numPr>
          <w:ilvl w:val="0"/>
          <w:numId w:val="4"/>
        </w:numPr>
        <w:spacing w:before="0" w:after="0" w:line="480" w:lineRule="auto"/>
        <w:jc w:val="center"/>
        <w:rPr>
          <w:rFonts w:ascii="宋体" w:hAnsi="宋体" w:eastAsia="宋体"/>
          <w:color w:val="auto"/>
        </w:rPr>
      </w:pPr>
      <w:bookmarkStart w:id="72" w:name="_Toc17879"/>
      <w:r>
        <w:rPr>
          <w:rFonts w:hint="eastAsia" w:ascii="宋体" w:hAnsi="宋体" w:eastAsia="宋体"/>
          <w:color w:val="auto"/>
        </w:rPr>
        <w:t>招标文件</w:t>
      </w:r>
      <w:bookmarkEnd w:id="72"/>
    </w:p>
    <w:p>
      <w:pPr>
        <w:pStyle w:val="6"/>
        <w:widowControl w:val="0"/>
        <w:overflowPunct w:val="0"/>
        <w:spacing w:before="0" w:after="0" w:line="240" w:lineRule="auto"/>
        <w:rPr>
          <w:rFonts w:ascii="宋体" w:hAnsi="宋体" w:eastAsia="宋体"/>
          <w:color w:val="auto"/>
          <w:sz w:val="21"/>
          <w:szCs w:val="21"/>
        </w:rPr>
      </w:pPr>
      <w:bookmarkStart w:id="73" w:name="_Toc21771"/>
      <w:r>
        <w:rPr>
          <w:rFonts w:hint="eastAsia" w:ascii="宋体" w:hAnsi="宋体" w:eastAsia="宋体"/>
          <w:color w:val="auto"/>
          <w:sz w:val="21"/>
          <w:szCs w:val="21"/>
        </w:rPr>
        <w:t>8.招标文件的组成</w:t>
      </w:r>
      <w:bookmarkEnd w:id="73"/>
    </w:p>
    <w:p>
      <w:pPr>
        <w:pStyle w:val="24"/>
        <w:widowControl w:val="0"/>
        <w:numPr>
          <w:ilvl w:val="0"/>
          <w:numId w:val="5"/>
        </w:numPr>
        <w:adjustRightInd/>
        <w:snapToGrid/>
        <w:spacing w:after="0" w:line="360" w:lineRule="exact"/>
        <w:ind w:firstLineChars="0"/>
        <w:jc w:val="both"/>
        <w:rPr>
          <w:rFonts w:ascii="宋体" w:hAnsi="宋体" w:eastAsia="宋体"/>
          <w:vanish/>
          <w:color w:val="auto"/>
          <w:sz w:val="21"/>
          <w:szCs w:val="21"/>
        </w:rPr>
      </w:pP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（1）投标邀请书；</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（2）投标资料表；</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（3）用户需求书；</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（4）投标人须知；</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（5）合同文本参考格式；</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（6）投标文件参考格式；</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（7）在招标过程中由采购代理机构发出的澄清更正文件等。</w:t>
      </w:r>
    </w:p>
    <w:p>
      <w:pPr>
        <w:spacing w:after="0"/>
        <w:rPr>
          <w:color w:val="auto"/>
        </w:rPr>
      </w:pPr>
    </w:p>
    <w:p>
      <w:pPr>
        <w:pStyle w:val="6"/>
        <w:widowControl w:val="0"/>
        <w:overflowPunct w:val="0"/>
        <w:spacing w:before="0" w:after="0" w:line="240" w:lineRule="auto"/>
        <w:rPr>
          <w:rFonts w:ascii="宋体" w:hAnsi="宋体" w:eastAsia="宋体"/>
          <w:color w:val="auto"/>
          <w:sz w:val="21"/>
          <w:szCs w:val="21"/>
        </w:rPr>
      </w:pPr>
      <w:bookmarkStart w:id="74" w:name="_Toc14217"/>
      <w:r>
        <w:rPr>
          <w:rFonts w:hint="eastAsia" w:ascii="宋体" w:hAnsi="宋体" w:eastAsia="宋体"/>
          <w:color w:val="auto"/>
          <w:sz w:val="21"/>
          <w:szCs w:val="21"/>
        </w:rPr>
        <w:t>9.招标文件的澄清或修改</w:t>
      </w:r>
      <w:bookmarkEnd w:id="74"/>
    </w:p>
    <w:p>
      <w:pPr>
        <w:pStyle w:val="24"/>
        <w:widowControl w:val="0"/>
        <w:numPr>
          <w:ilvl w:val="0"/>
          <w:numId w:val="5"/>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color w:val="auto"/>
          <w:sz w:val="21"/>
          <w:szCs w:val="21"/>
        </w:rPr>
        <w:t>具有约束作用</w:t>
      </w:r>
      <w:r>
        <w:rPr>
          <w:rFonts w:hint="eastAsia" w:ascii="宋体" w:hAnsi="宋体" w:eastAsia="宋体"/>
          <w:color w:val="auto"/>
          <w:sz w:val="21"/>
          <w:szCs w:val="21"/>
        </w:rPr>
        <w:t>。</w:t>
      </w:r>
      <w:r>
        <w:rPr>
          <w:rFonts w:ascii="宋体" w:hAnsi="宋体" w:eastAsia="宋体"/>
          <w:color w:val="auto"/>
          <w:sz w:val="21"/>
          <w:szCs w:val="21"/>
        </w:rPr>
        <w:t>当招标文件、招标文件的澄清</w:t>
      </w:r>
      <w:r>
        <w:rPr>
          <w:rFonts w:hint="eastAsia" w:ascii="宋体" w:hAnsi="宋体" w:eastAsia="宋体"/>
          <w:color w:val="auto"/>
          <w:sz w:val="21"/>
          <w:szCs w:val="21"/>
        </w:rPr>
        <w:t>或</w:t>
      </w:r>
      <w:r>
        <w:rPr>
          <w:rFonts w:ascii="宋体" w:hAnsi="宋体" w:eastAsia="宋体"/>
          <w:color w:val="auto"/>
          <w:sz w:val="21"/>
          <w:szCs w:val="21"/>
        </w:rPr>
        <w:t>修改等在同一内容的表述上不一致时，以最后发出的书面文件</w:t>
      </w:r>
      <w:r>
        <w:rPr>
          <w:rFonts w:hint="eastAsia" w:ascii="宋体" w:hAnsi="宋体" w:eastAsia="宋体"/>
          <w:color w:val="auto"/>
          <w:sz w:val="21"/>
          <w:szCs w:val="21"/>
        </w:rPr>
        <w:t>及公告</w:t>
      </w:r>
      <w:r>
        <w:rPr>
          <w:rFonts w:ascii="宋体" w:hAnsi="宋体" w:eastAsia="宋体"/>
          <w:color w:val="auto"/>
          <w:sz w:val="21"/>
          <w:szCs w:val="21"/>
        </w:rPr>
        <w:t>为准。</w:t>
      </w:r>
    </w:p>
    <w:p>
      <w:pPr>
        <w:widowControl w:val="0"/>
        <w:numPr>
          <w:ilvl w:val="1"/>
          <w:numId w:val="5"/>
        </w:numPr>
        <w:adjustRightInd/>
        <w:snapToGrid/>
        <w:spacing w:after="0" w:line="360" w:lineRule="exact"/>
        <w:jc w:val="both"/>
        <w:rPr>
          <w:rFonts w:ascii="宋体" w:hAnsi="宋体" w:eastAsia="宋体"/>
          <w:b/>
          <w:bCs/>
          <w:color w:val="auto"/>
          <w:sz w:val="21"/>
          <w:szCs w:val="21"/>
        </w:rPr>
      </w:pPr>
      <w:r>
        <w:rPr>
          <w:rFonts w:hint="eastAsia" w:ascii="宋体" w:hAnsi="宋体" w:eastAsia="宋体"/>
          <w:b/>
          <w:bCs/>
          <w:color w:val="auto"/>
          <w:sz w:val="21"/>
          <w:szCs w:val="21"/>
        </w:rPr>
        <w:t>招标期间，投标人有义务上网查看，公告一经上网发布，即视为送达。因投标人未及时上网查看而造成的所有后果，由投标人自行承担。</w:t>
      </w:r>
    </w:p>
    <w:p>
      <w:pPr>
        <w:widowControl w:val="0"/>
        <w:adjustRightInd/>
        <w:snapToGrid/>
        <w:spacing w:after="0" w:line="360" w:lineRule="exact"/>
        <w:ind w:left="567"/>
        <w:jc w:val="both"/>
        <w:rPr>
          <w:rFonts w:ascii="宋体" w:hAnsi="宋体" w:eastAsia="宋体"/>
          <w:color w:val="auto"/>
          <w:sz w:val="21"/>
          <w:szCs w:val="21"/>
        </w:rPr>
      </w:pPr>
    </w:p>
    <w:p>
      <w:pPr>
        <w:pStyle w:val="5"/>
        <w:numPr>
          <w:ilvl w:val="0"/>
          <w:numId w:val="4"/>
        </w:numPr>
        <w:spacing w:before="0" w:after="0" w:line="480" w:lineRule="auto"/>
        <w:jc w:val="center"/>
        <w:rPr>
          <w:rFonts w:ascii="宋体" w:hAnsi="宋体" w:eastAsia="宋体"/>
          <w:color w:val="auto"/>
        </w:rPr>
      </w:pPr>
      <w:bookmarkStart w:id="75" w:name="_Toc23726"/>
      <w:r>
        <w:rPr>
          <w:rFonts w:hint="eastAsia" w:ascii="宋体" w:hAnsi="宋体" w:eastAsia="宋体"/>
          <w:color w:val="auto"/>
        </w:rPr>
        <w:t>投标文件的编制</w:t>
      </w:r>
      <w:bookmarkEnd w:id="75"/>
    </w:p>
    <w:p>
      <w:pPr>
        <w:pStyle w:val="6"/>
        <w:widowControl w:val="0"/>
        <w:overflowPunct w:val="0"/>
        <w:spacing w:before="0" w:after="0" w:line="240" w:lineRule="auto"/>
        <w:rPr>
          <w:rFonts w:ascii="宋体" w:hAnsi="宋体" w:eastAsia="宋体"/>
          <w:color w:val="auto"/>
          <w:sz w:val="21"/>
          <w:szCs w:val="21"/>
        </w:rPr>
      </w:pPr>
      <w:bookmarkStart w:id="76" w:name="_Toc20623"/>
      <w:r>
        <w:rPr>
          <w:rFonts w:hint="eastAsia" w:ascii="宋体" w:hAnsi="宋体" w:eastAsia="宋体"/>
          <w:color w:val="auto"/>
          <w:sz w:val="21"/>
          <w:szCs w:val="21"/>
        </w:rPr>
        <w:t>10.投标文件的语言及度量衡单位</w:t>
      </w:r>
      <w:bookmarkEnd w:id="76"/>
    </w:p>
    <w:p>
      <w:pPr>
        <w:pStyle w:val="24"/>
        <w:widowControl w:val="0"/>
        <w:numPr>
          <w:ilvl w:val="0"/>
          <w:numId w:val="5"/>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除非招标文件在技术规格中另有规定，投标人在投标文件中及其与采购代理机构和采购人所有往来文件中的所有</w:t>
      </w:r>
      <w:r>
        <w:rPr>
          <w:rFonts w:ascii="宋体" w:hAnsi="宋体" w:eastAsia="宋体"/>
          <w:color w:val="auto"/>
          <w:sz w:val="21"/>
          <w:szCs w:val="21"/>
        </w:rPr>
        <w:t>计量单位</w:t>
      </w:r>
      <w:r>
        <w:rPr>
          <w:rFonts w:hint="eastAsia" w:ascii="宋体" w:hAnsi="宋体" w:eastAsia="宋体"/>
          <w:color w:val="auto"/>
          <w:sz w:val="21"/>
          <w:szCs w:val="21"/>
        </w:rPr>
        <w:t>均应采用中华人民共和国法定计量单位</w:t>
      </w:r>
      <w:r>
        <w:rPr>
          <w:rFonts w:ascii="宋体" w:hAnsi="宋体" w:eastAsia="宋体"/>
          <w:color w:val="auto"/>
          <w:sz w:val="21"/>
          <w:szCs w:val="21"/>
        </w:rPr>
        <w:t>。</w:t>
      </w:r>
    </w:p>
    <w:p>
      <w:pPr>
        <w:widowControl w:val="0"/>
        <w:adjustRightInd/>
        <w:snapToGrid/>
        <w:spacing w:after="0" w:line="360" w:lineRule="exact"/>
        <w:ind w:left="567"/>
        <w:jc w:val="both"/>
        <w:rPr>
          <w:rFonts w:ascii="宋体" w:hAnsi="宋体" w:eastAsia="宋体"/>
          <w:color w:val="auto"/>
          <w:sz w:val="21"/>
          <w:szCs w:val="21"/>
        </w:rPr>
      </w:pPr>
    </w:p>
    <w:p>
      <w:pPr>
        <w:pStyle w:val="6"/>
        <w:widowControl w:val="0"/>
        <w:overflowPunct w:val="0"/>
        <w:spacing w:before="0" w:after="0" w:line="240" w:lineRule="auto"/>
        <w:rPr>
          <w:rFonts w:ascii="宋体" w:hAnsi="宋体" w:eastAsia="宋体"/>
          <w:color w:val="auto"/>
          <w:sz w:val="21"/>
          <w:szCs w:val="21"/>
        </w:rPr>
      </w:pPr>
      <w:bookmarkStart w:id="77" w:name="_Toc12145"/>
      <w:bookmarkStart w:id="78" w:name="_Toc303084256"/>
      <w:bookmarkStart w:id="79" w:name="_Toc307934854"/>
      <w:bookmarkStart w:id="80" w:name="_Toc28866"/>
      <w:bookmarkStart w:id="81" w:name="_Toc382049103"/>
      <w:r>
        <w:rPr>
          <w:rFonts w:hint="eastAsia" w:ascii="宋体" w:hAnsi="宋体" w:eastAsia="宋体"/>
          <w:color w:val="auto"/>
          <w:sz w:val="21"/>
          <w:szCs w:val="21"/>
        </w:rPr>
        <w:t>11.</w:t>
      </w:r>
      <w:r>
        <w:rPr>
          <w:rFonts w:ascii="宋体" w:hAnsi="宋体" w:eastAsia="宋体"/>
          <w:color w:val="auto"/>
          <w:sz w:val="21"/>
          <w:szCs w:val="21"/>
        </w:rPr>
        <w:t>投标文件的组成</w:t>
      </w:r>
      <w:bookmarkEnd w:id="77"/>
      <w:bookmarkEnd w:id="78"/>
      <w:bookmarkEnd w:id="79"/>
      <w:bookmarkEnd w:id="80"/>
      <w:bookmarkEnd w:id="81"/>
    </w:p>
    <w:p>
      <w:pPr>
        <w:pStyle w:val="24"/>
        <w:widowControl w:val="0"/>
        <w:numPr>
          <w:ilvl w:val="0"/>
          <w:numId w:val="5"/>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包括但不限于招标文件附件格式中要求提供的表格。</w:t>
      </w:r>
    </w:p>
    <w:p>
      <w:pPr>
        <w:widowControl w:val="0"/>
        <w:numPr>
          <w:ilvl w:val="1"/>
          <w:numId w:val="5"/>
        </w:numPr>
        <w:adjustRightInd/>
        <w:snapToGrid/>
        <w:spacing w:after="0" w:line="360" w:lineRule="exact"/>
        <w:jc w:val="both"/>
        <w:rPr>
          <w:color w:val="auto"/>
        </w:rPr>
      </w:pPr>
      <w:r>
        <w:rPr>
          <w:rFonts w:hint="eastAsia" w:ascii="宋体" w:hAnsi="宋体" w:eastAsia="宋体"/>
          <w:color w:val="auto"/>
          <w:sz w:val="21"/>
          <w:szCs w:val="21"/>
        </w:rPr>
        <w:t>上述文件须按顺序装订成册，并编制投标文件目录。除上述文件资料外投标人还须按投标人须知的要求制作“开标文件”。“开标文件”作为投标文件的一部分，但须单独密封。</w:t>
      </w:r>
    </w:p>
    <w:p>
      <w:pPr>
        <w:rPr>
          <w:color w:val="auto"/>
        </w:rPr>
      </w:pPr>
    </w:p>
    <w:p>
      <w:pPr>
        <w:pStyle w:val="6"/>
        <w:widowControl w:val="0"/>
        <w:overflowPunct w:val="0"/>
        <w:spacing w:before="0" w:after="0" w:line="240" w:lineRule="auto"/>
        <w:rPr>
          <w:rFonts w:ascii="宋体" w:hAnsi="宋体" w:eastAsia="宋体"/>
          <w:color w:val="auto"/>
          <w:sz w:val="21"/>
          <w:szCs w:val="21"/>
        </w:rPr>
      </w:pPr>
      <w:bookmarkStart w:id="82" w:name="_Toc30189"/>
      <w:r>
        <w:rPr>
          <w:rFonts w:hint="eastAsia" w:ascii="宋体" w:hAnsi="宋体" w:eastAsia="宋体"/>
          <w:color w:val="auto"/>
          <w:sz w:val="21"/>
          <w:szCs w:val="21"/>
        </w:rPr>
        <w:t>12.投标文件编制</w:t>
      </w:r>
      <w:bookmarkEnd w:id="82"/>
    </w:p>
    <w:p>
      <w:pPr>
        <w:pStyle w:val="24"/>
        <w:widowControl w:val="0"/>
        <w:numPr>
          <w:ilvl w:val="0"/>
          <w:numId w:val="5"/>
        </w:numPr>
        <w:adjustRightInd/>
        <w:snapToGrid/>
        <w:spacing w:after="0" w:line="360" w:lineRule="exact"/>
        <w:ind w:firstLineChars="0"/>
        <w:jc w:val="both"/>
        <w:rPr>
          <w:rFonts w:ascii="宋体" w:hAnsi="宋体" w:eastAsia="宋体"/>
          <w:vanish/>
          <w:color w:val="auto"/>
          <w:sz w:val="21"/>
          <w:szCs w:val="21"/>
        </w:rPr>
      </w:pPr>
      <w:bookmarkStart w:id="83" w:name="_Toc303084258"/>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投标人应按招标文件的规定以及附件要求的内容和格式完整地填写</w:t>
      </w:r>
      <w:r>
        <w:rPr>
          <w:rFonts w:ascii="宋体" w:hAnsi="宋体" w:eastAsia="宋体"/>
          <w:color w:val="auto"/>
          <w:sz w:val="21"/>
          <w:szCs w:val="21"/>
        </w:rPr>
        <w:t>（表格可以按同样格式扩展）</w:t>
      </w:r>
      <w:r>
        <w:rPr>
          <w:rFonts w:hint="eastAsia" w:ascii="宋体" w:hAnsi="宋体" w:eastAsia="宋体"/>
          <w:color w:val="auto"/>
          <w:sz w:val="21"/>
          <w:szCs w:val="21"/>
        </w:rPr>
        <w:t>和提供资料，投标人必须对投标文件所提供的全部材料的真实性承担法律责任，并无条件接受采购人或采购代理机构及政府采购监督管理部门等对其中任何资料进行核实的要求。</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因投标文件编制存在歧义对投标人产生负面影响的，投标人自行承担后果。</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投标单位名称与投标人公章不一致，若投标单位名称已进行变更，应在投标文件中提供相应的证明材料并加盖公章，否则投标文件无效。</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投标文件密封、标记及内容与本项目采购信息不符，导致无法分辨所投项目为本项目的，投标文件无效。</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投标人须客观撰写投标人简介（格式自理，并提供相关证明）以及所投的产品或服务说明。</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投标文件若出现以下内容，经评标委员会认定有可能间接影响评审秩序，其投标无效：</w:t>
      </w:r>
    </w:p>
    <w:p>
      <w:pPr>
        <w:pStyle w:val="24"/>
        <w:widowControl w:val="0"/>
        <w:adjustRightInd/>
        <w:snapToGrid/>
        <w:spacing w:after="0" w:line="360" w:lineRule="exact"/>
        <w:ind w:firstLine="0" w:firstLineChars="0"/>
        <w:jc w:val="both"/>
        <w:rPr>
          <w:rFonts w:ascii="宋体" w:hAnsi="宋体" w:eastAsia="宋体"/>
          <w:color w:val="auto"/>
          <w:sz w:val="21"/>
          <w:szCs w:val="21"/>
        </w:rPr>
      </w:pPr>
      <w:r>
        <w:rPr>
          <w:rFonts w:hint="eastAsia" w:ascii="宋体" w:hAnsi="宋体" w:eastAsia="宋体"/>
          <w:color w:val="auto"/>
          <w:sz w:val="21"/>
          <w:szCs w:val="21"/>
        </w:rPr>
        <w:t>（1）投标文件内出现无官方证明文件的行业地域排名或</w:t>
      </w:r>
      <w:r>
        <w:rPr>
          <w:rFonts w:ascii="宋体" w:hAnsi="宋体" w:eastAsia="宋体"/>
          <w:color w:val="auto"/>
          <w:sz w:val="21"/>
          <w:szCs w:val="21"/>
        </w:rPr>
        <w:t>使用“国家级”、“最高级”、“最佳”等用语</w:t>
      </w:r>
      <w:r>
        <w:rPr>
          <w:rFonts w:hint="eastAsia" w:ascii="宋体" w:hAnsi="宋体" w:eastAsia="宋体"/>
          <w:color w:val="auto"/>
          <w:sz w:val="21"/>
          <w:szCs w:val="21"/>
        </w:rPr>
        <w:t>字眼的。</w:t>
      </w:r>
    </w:p>
    <w:p>
      <w:pPr>
        <w:pStyle w:val="24"/>
        <w:widowControl w:val="0"/>
        <w:adjustRightInd/>
        <w:snapToGrid/>
        <w:spacing w:after="0" w:line="360" w:lineRule="exact"/>
        <w:ind w:firstLine="0" w:firstLineChars="0"/>
        <w:jc w:val="both"/>
        <w:rPr>
          <w:rFonts w:ascii="宋体" w:hAnsi="宋体" w:eastAsia="宋体"/>
          <w:color w:val="auto"/>
          <w:sz w:val="21"/>
          <w:szCs w:val="21"/>
        </w:rPr>
      </w:pPr>
      <w:r>
        <w:rPr>
          <w:rFonts w:hint="eastAsia" w:ascii="宋体" w:hAnsi="宋体" w:eastAsia="宋体"/>
          <w:color w:val="auto"/>
          <w:sz w:val="21"/>
          <w:szCs w:val="21"/>
        </w:rPr>
        <w:t>（2）投标文件内出现恶意诋毁、</w:t>
      </w:r>
      <w:r>
        <w:rPr>
          <w:rFonts w:ascii="宋体" w:hAnsi="宋体" w:eastAsia="宋体"/>
          <w:color w:val="auto"/>
          <w:sz w:val="21"/>
          <w:szCs w:val="21"/>
        </w:rPr>
        <w:t>贬低其他生产经营者的商品或者服务</w:t>
      </w:r>
      <w:r>
        <w:rPr>
          <w:rFonts w:hint="eastAsia" w:ascii="宋体" w:hAnsi="宋体" w:eastAsia="宋体"/>
          <w:color w:val="auto"/>
          <w:sz w:val="21"/>
          <w:szCs w:val="21"/>
        </w:rPr>
        <w:t>的内容。</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有下列情形之一的，视为投标人串通投标，其投标无效：</w:t>
      </w:r>
    </w:p>
    <w:bookmarkEnd w:id="83"/>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（一）不同投标人的投标文件由同一单位或者个人编制；</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（二）不同投标人委托同一单位或者个人办理投标事宜；</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（三）不同投标人的投标文件载明的项目管理成员或者联系人员为同一人；</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（四）不同投标人的投标文件异常一致或者投标报价呈规律性差异；</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（五）不同投标人的投标文件相互混装；</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（六）不同投标人的投标保证金从同一单位或者个人的账户转出。</w:t>
      </w:r>
    </w:p>
    <w:p>
      <w:pPr>
        <w:widowControl w:val="0"/>
        <w:adjustRightInd/>
        <w:snapToGrid/>
        <w:spacing w:after="0" w:line="360" w:lineRule="exact"/>
        <w:jc w:val="both"/>
        <w:rPr>
          <w:color w:val="auto"/>
        </w:rPr>
      </w:pPr>
    </w:p>
    <w:p>
      <w:pPr>
        <w:pStyle w:val="6"/>
        <w:widowControl w:val="0"/>
        <w:overflowPunct w:val="0"/>
        <w:spacing w:before="0" w:after="0" w:line="240" w:lineRule="auto"/>
        <w:rPr>
          <w:rFonts w:ascii="宋体" w:hAnsi="宋体" w:eastAsia="宋体"/>
          <w:color w:val="auto"/>
          <w:sz w:val="21"/>
          <w:szCs w:val="21"/>
        </w:rPr>
      </w:pPr>
      <w:bookmarkStart w:id="84" w:name="_Toc259"/>
      <w:r>
        <w:rPr>
          <w:rFonts w:hint="eastAsia" w:ascii="宋体" w:hAnsi="宋体" w:eastAsia="宋体"/>
          <w:color w:val="auto"/>
          <w:sz w:val="21"/>
          <w:szCs w:val="21"/>
        </w:rPr>
        <w:t>13.投标报价说明</w:t>
      </w:r>
      <w:bookmarkEnd w:id="84"/>
    </w:p>
    <w:p>
      <w:pPr>
        <w:pStyle w:val="24"/>
        <w:widowControl w:val="0"/>
        <w:numPr>
          <w:ilvl w:val="0"/>
          <w:numId w:val="5"/>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本次招标，投标人应按用户需求中的要求进行投标报价。</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投标人所提供的货物或服务均以人民币（或相关费率）报价</w:t>
      </w:r>
      <w:r>
        <w:rPr>
          <w:rFonts w:hint="eastAsia" w:ascii="宋体" w:hAnsi="宋体" w:eastAsia="宋体"/>
          <w:bCs/>
          <w:color w:val="auto"/>
          <w:sz w:val="21"/>
          <w:szCs w:val="21"/>
        </w:rPr>
        <w:t>（具体报价要求详见用户需求）</w:t>
      </w:r>
      <w:r>
        <w:rPr>
          <w:rFonts w:hint="eastAsia" w:ascii="宋体" w:hAnsi="宋体" w:eastAsia="宋体"/>
          <w:color w:val="auto"/>
          <w:sz w:val="21"/>
          <w:szCs w:val="21"/>
        </w:rPr>
        <w:t>。</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投标报价应包含完成本次招标所有服务内容的费用，包含各种税务费及合同实施过程中的全部费用和售后服务费等。</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中标后开出的所有发票必须与中标人的名称一致。</w:t>
      </w:r>
    </w:p>
    <w:p>
      <w:pPr>
        <w:rPr>
          <w:color w:val="auto"/>
        </w:rPr>
      </w:pPr>
    </w:p>
    <w:p>
      <w:pPr>
        <w:pStyle w:val="6"/>
        <w:widowControl w:val="0"/>
        <w:overflowPunct w:val="0"/>
        <w:spacing w:before="0" w:after="0" w:line="240" w:lineRule="auto"/>
        <w:rPr>
          <w:rFonts w:ascii="宋体" w:hAnsi="宋体" w:eastAsia="宋体"/>
          <w:color w:val="auto"/>
          <w:sz w:val="21"/>
          <w:szCs w:val="21"/>
        </w:rPr>
      </w:pPr>
      <w:bookmarkStart w:id="85" w:name="_Toc27724"/>
      <w:r>
        <w:rPr>
          <w:rFonts w:hint="eastAsia" w:ascii="宋体" w:hAnsi="宋体" w:eastAsia="宋体"/>
          <w:color w:val="auto"/>
          <w:sz w:val="21"/>
          <w:szCs w:val="21"/>
        </w:rPr>
        <w:t>14.投标人所提供的服务或货物的证明文件</w:t>
      </w:r>
      <w:bookmarkEnd w:id="85"/>
    </w:p>
    <w:p>
      <w:pPr>
        <w:pStyle w:val="24"/>
        <w:widowControl w:val="0"/>
        <w:numPr>
          <w:ilvl w:val="0"/>
          <w:numId w:val="5"/>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5"/>
        </w:numPr>
        <w:adjustRightInd/>
        <w:snapToGrid/>
        <w:spacing w:after="0" w:line="360" w:lineRule="exact"/>
        <w:jc w:val="both"/>
        <w:rPr>
          <w:rFonts w:ascii="宋体" w:hAnsi="宋体" w:eastAsia="宋体"/>
          <w:color w:val="auto"/>
          <w:sz w:val="21"/>
          <w:szCs w:val="21"/>
        </w:rPr>
      </w:pPr>
      <w:bookmarkStart w:id="86" w:name="_Hlt107925638"/>
      <w:bookmarkEnd w:id="86"/>
      <w:bookmarkStart w:id="87" w:name="_Hlt107925668"/>
      <w:bookmarkEnd w:id="87"/>
      <w:r>
        <w:rPr>
          <w:rFonts w:hint="eastAsia" w:ascii="宋体" w:hAnsi="宋体" w:eastAsia="宋体"/>
          <w:color w:val="auto"/>
          <w:sz w:val="21"/>
          <w:szCs w:val="21"/>
        </w:rPr>
        <w:t>证明服务或货物的文件，它可以是文字资料、图纸和数据包括但不限于：服务主要内容、标准、质量、人员资质、计划安排、报告审核等的详细说明；对招标文件第三部分《用户需求书》中规定的要求进行详细应答和说明。</w:t>
      </w:r>
    </w:p>
    <w:p>
      <w:pPr>
        <w:pStyle w:val="24"/>
        <w:widowControl w:val="0"/>
        <w:adjustRightInd/>
        <w:snapToGrid/>
        <w:spacing w:after="0" w:line="360" w:lineRule="exact"/>
        <w:ind w:left="425" w:firstLine="0" w:firstLineChars="0"/>
        <w:jc w:val="both"/>
        <w:rPr>
          <w:color w:val="auto"/>
        </w:rPr>
      </w:pPr>
    </w:p>
    <w:p>
      <w:pPr>
        <w:pStyle w:val="6"/>
        <w:widowControl w:val="0"/>
        <w:overflowPunct w:val="0"/>
        <w:spacing w:before="0" w:after="0" w:line="240" w:lineRule="auto"/>
        <w:rPr>
          <w:rFonts w:ascii="宋体" w:hAnsi="宋体" w:eastAsia="宋体"/>
          <w:color w:val="auto"/>
          <w:sz w:val="21"/>
          <w:szCs w:val="21"/>
        </w:rPr>
      </w:pPr>
      <w:bookmarkStart w:id="88" w:name="_Toc19520"/>
      <w:r>
        <w:rPr>
          <w:rFonts w:hint="eastAsia" w:ascii="宋体" w:hAnsi="宋体" w:eastAsia="宋体"/>
          <w:color w:val="auto"/>
          <w:sz w:val="21"/>
          <w:szCs w:val="21"/>
        </w:rPr>
        <w:t>15.★投标有效期</w:t>
      </w:r>
      <w:bookmarkEnd w:id="88"/>
    </w:p>
    <w:p>
      <w:pPr>
        <w:pStyle w:val="24"/>
        <w:widowControl w:val="0"/>
        <w:numPr>
          <w:ilvl w:val="0"/>
          <w:numId w:val="5"/>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投标文件应根据投标人须知的规定在投标截止日后的90天内保持有效。</w:t>
      </w:r>
    </w:p>
    <w:p>
      <w:pPr>
        <w:widowControl w:val="0"/>
        <w:adjustRightInd/>
        <w:snapToGrid/>
        <w:spacing w:after="0" w:line="360" w:lineRule="exact"/>
        <w:ind w:left="567"/>
        <w:jc w:val="both"/>
        <w:rPr>
          <w:color w:val="auto"/>
        </w:rPr>
      </w:pPr>
    </w:p>
    <w:p>
      <w:pPr>
        <w:pStyle w:val="6"/>
        <w:widowControl w:val="0"/>
        <w:overflowPunct w:val="0"/>
        <w:spacing w:before="0" w:after="0" w:line="240" w:lineRule="auto"/>
        <w:rPr>
          <w:rFonts w:ascii="宋体" w:hAnsi="宋体" w:eastAsia="宋体"/>
          <w:color w:val="auto"/>
          <w:sz w:val="21"/>
          <w:szCs w:val="21"/>
        </w:rPr>
      </w:pPr>
      <w:bookmarkStart w:id="89" w:name="_Toc12456"/>
      <w:r>
        <w:rPr>
          <w:rFonts w:hint="eastAsia" w:ascii="宋体" w:hAnsi="宋体" w:eastAsia="宋体"/>
          <w:color w:val="auto"/>
          <w:sz w:val="21"/>
          <w:szCs w:val="21"/>
        </w:rPr>
        <w:t>16.★投标保证金</w:t>
      </w:r>
      <w:bookmarkEnd w:id="89"/>
    </w:p>
    <w:p>
      <w:pPr>
        <w:pStyle w:val="24"/>
        <w:widowControl w:val="0"/>
        <w:numPr>
          <w:ilvl w:val="0"/>
          <w:numId w:val="5"/>
        </w:numPr>
        <w:adjustRightInd/>
        <w:snapToGrid/>
        <w:spacing w:after="0" w:line="360" w:lineRule="exact"/>
        <w:ind w:firstLineChars="0"/>
        <w:jc w:val="both"/>
        <w:rPr>
          <w:rFonts w:ascii="宋体" w:hAnsi="宋体" w:eastAsia="宋体"/>
          <w:vanish/>
          <w:color w:val="auto"/>
          <w:sz w:val="21"/>
          <w:szCs w:val="21"/>
        </w:rPr>
      </w:pPr>
      <w:bookmarkStart w:id="90" w:name="_Ref179619405"/>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投标人应按投标资料表中规定数额及法律规定的时间按相应包号保证金金额要求一次性提交投标保证金，以多次汇入达到招标文件要求金额的投标保证金无效。</w:t>
      </w:r>
      <w:bookmarkEnd w:id="90"/>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投标保证金金额与招标文件要求金额保持一致（详见投标资料表）。</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投标保证金有效期与投标有效期保持一致。</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投标人应一次性缴交招标文件规定数额的投标保证金，投标人与交款人名称必须一致，非投标人缴纳的投标保证金无效。</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采用银行转账、电汇方式提交的,付至采购代理机构指定账户上。 (详见投标人资料表)</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投标担保格式详见附件《政府采购投标担保函》）</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采用《政府采购投标担保函》提交的，应符合下列规定：</w:t>
      </w:r>
    </w:p>
    <w:p>
      <w:pPr>
        <w:spacing w:after="0"/>
        <w:ind w:firstLine="422" w:firstLineChars="200"/>
        <w:rPr>
          <w:rFonts w:ascii="宋体" w:hAnsi="宋体" w:eastAsia="宋体"/>
          <w:b/>
          <w:color w:val="auto"/>
          <w:sz w:val="21"/>
          <w:szCs w:val="21"/>
        </w:rPr>
      </w:pPr>
      <w:r>
        <w:rPr>
          <w:rFonts w:hint="eastAsia" w:ascii="宋体" w:hAnsi="宋体" w:eastAsia="宋体"/>
          <w:b/>
          <w:color w:val="auto"/>
          <w:sz w:val="21"/>
          <w:szCs w:val="21"/>
        </w:rPr>
        <w:t>①投标担保函有效期应与投标有效期一致；</w:t>
      </w:r>
    </w:p>
    <w:p>
      <w:pPr>
        <w:spacing w:after="0"/>
        <w:ind w:firstLine="422" w:firstLineChars="200"/>
        <w:rPr>
          <w:rFonts w:ascii="宋体" w:hAnsi="宋体" w:eastAsia="宋体"/>
          <w:b/>
          <w:color w:val="auto"/>
          <w:sz w:val="21"/>
          <w:szCs w:val="21"/>
        </w:rPr>
      </w:pPr>
      <w:r>
        <w:rPr>
          <w:rFonts w:hint="eastAsia" w:ascii="宋体" w:hAnsi="宋体" w:eastAsia="宋体"/>
          <w:b/>
          <w:color w:val="auto"/>
          <w:sz w:val="21"/>
          <w:szCs w:val="21"/>
        </w:rPr>
        <w:t>②投标担保金额应与本项目的投标保证金一致；</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保证金不接受现金方式（包括以存现方式）提交，未按要求提交投标保证金的将导致废标。</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未中标的投标人的保证金在采购结果公示发出后5个工作日内退还，中标投标人的保证金在采购合同签订后5个工作日内退还。</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为方便退还未中标的投标人保证金，投标人应制作《投标保证金汇入情况说明》随开标文件一并递交。</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有下列情形之一的，投标保证金将不予退还：</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（1）投标人在提交响应文件截止时间后撤回响应文件的；</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（2）投标人在响应文件中提供虚假材料的；</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（3）除因不可抗力或谈判文件、询价通知书认可的情形以外，中标单位不与采购人签订合同的；</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（4）投标人与采购人、其他供应商或者采购代理机构恶意串通的；</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（5）招标文件规定的其他情形。</w:t>
      </w:r>
      <w:r>
        <w:rPr>
          <w:rFonts w:ascii="宋体" w:hAnsi="宋体" w:eastAsia="宋体"/>
          <w:color w:val="auto"/>
          <w:sz w:val="21"/>
          <w:szCs w:val="21"/>
        </w:rPr>
        <w:t xml:space="preserve"> </w:t>
      </w:r>
    </w:p>
    <w:p>
      <w:pPr>
        <w:rPr>
          <w:color w:val="auto"/>
        </w:rPr>
      </w:pPr>
    </w:p>
    <w:p>
      <w:pPr>
        <w:pStyle w:val="5"/>
        <w:numPr>
          <w:ilvl w:val="0"/>
          <w:numId w:val="4"/>
        </w:numPr>
        <w:spacing w:before="0" w:after="0" w:line="480" w:lineRule="auto"/>
        <w:jc w:val="center"/>
        <w:rPr>
          <w:rFonts w:ascii="宋体" w:hAnsi="宋体" w:eastAsia="宋体"/>
          <w:color w:val="auto"/>
        </w:rPr>
      </w:pPr>
      <w:bookmarkStart w:id="91" w:name="_Toc31124"/>
      <w:r>
        <w:rPr>
          <w:rFonts w:hint="eastAsia" w:ascii="宋体" w:hAnsi="宋体" w:eastAsia="宋体"/>
          <w:color w:val="auto"/>
        </w:rPr>
        <w:t>投标文件的递交</w:t>
      </w:r>
      <w:bookmarkEnd w:id="91"/>
    </w:p>
    <w:p>
      <w:pPr>
        <w:pStyle w:val="6"/>
        <w:widowControl w:val="0"/>
        <w:overflowPunct w:val="0"/>
        <w:spacing w:before="0" w:after="0" w:line="240" w:lineRule="auto"/>
        <w:rPr>
          <w:rFonts w:ascii="宋体" w:hAnsi="宋体" w:eastAsia="宋体"/>
          <w:color w:val="auto"/>
          <w:sz w:val="21"/>
          <w:szCs w:val="21"/>
        </w:rPr>
      </w:pPr>
      <w:bookmarkStart w:id="92" w:name="_Toc29590"/>
      <w:bookmarkStart w:id="93" w:name="_Toc303084264"/>
      <w:bookmarkStart w:id="94" w:name="_Toc24997"/>
      <w:bookmarkStart w:id="95" w:name="_Toc382049111"/>
      <w:r>
        <w:rPr>
          <w:rFonts w:hint="eastAsia" w:ascii="宋体" w:hAnsi="宋体" w:eastAsia="宋体"/>
          <w:color w:val="auto"/>
          <w:sz w:val="21"/>
          <w:szCs w:val="21"/>
        </w:rPr>
        <w:t>17.</w:t>
      </w:r>
      <w:r>
        <w:rPr>
          <w:rFonts w:ascii="宋体" w:hAnsi="宋体" w:eastAsia="宋体"/>
          <w:color w:val="auto"/>
          <w:sz w:val="21"/>
          <w:szCs w:val="21"/>
        </w:rPr>
        <w:t>投标文件的</w:t>
      </w:r>
      <w:r>
        <w:rPr>
          <w:rFonts w:hint="eastAsia" w:ascii="宋体" w:hAnsi="宋体" w:eastAsia="宋体"/>
          <w:color w:val="auto"/>
          <w:sz w:val="21"/>
          <w:szCs w:val="21"/>
        </w:rPr>
        <w:t>装订，签署，</w:t>
      </w:r>
      <w:r>
        <w:rPr>
          <w:rFonts w:ascii="宋体" w:hAnsi="宋体" w:eastAsia="宋体"/>
          <w:color w:val="auto"/>
          <w:sz w:val="21"/>
          <w:szCs w:val="21"/>
        </w:rPr>
        <w:t>密封和标记</w:t>
      </w:r>
      <w:bookmarkEnd w:id="92"/>
      <w:bookmarkEnd w:id="93"/>
      <w:bookmarkEnd w:id="94"/>
      <w:bookmarkEnd w:id="95"/>
    </w:p>
    <w:p>
      <w:pPr>
        <w:pStyle w:val="24"/>
        <w:widowControl w:val="0"/>
        <w:numPr>
          <w:ilvl w:val="0"/>
          <w:numId w:val="5"/>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为方便评标委员会对投标文件进行评审</w:t>
      </w:r>
      <w:r>
        <w:rPr>
          <w:rFonts w:ascii="宋体" w:hAnsi="宋体" w:eastAsia="宋体"/>
          <w:color w:val="auto"/>
          <w:sz w:val="21"/>
          <w:szCs w:val="21"/>
        </w:rPr>
        <w:t>，</w:t>
      </w:r>
      <w:r>
        <w:rPr>
          <w:rFonts w:hint="eastAsia" w:ascii="宋体" w:hAnsi="宋体" w:eastAsia="宋体"/>
          <w:color w:val="auto"/>
          <w:sz w:val="21"/>
          <w:szCs w:val="21"/>
        </w:rPr>
        <w:t>建议投标人对投标文件进行装订，</w:t>
      </w:r>
      <w:r>
        <w:rPr>
          <w:rFonts w:ascii="宋体" w:hAnsi="宋体" w:eastAsia="宋体"/>
          <w:color w:val="auto"/>
          <w:sz w:val="21"/>
          <w:szCs w:val="21"/>
        </w:rPr>
        <w:t>对未经装订的投标文件可能发生的文件缺</w:t>
      </w:r>
      <w:r>
        <w:rPr>
          <w:rFonts w:hint="eastAsia" w:ascii="宋体" w:hAnsi="宋体" w:eastAsia="宋体"/>
          <w:color w:val="auto"/>
          <w:sz w:val="21"/>
          <w:szCs w:val="21"/>
        </w:rPr>
        <w:t>损</w:t>
      </w:r>
      <w:r>
        <w:rPr>
          <w:rFonts w:ascii="宋体" w:hAnsi="宋体" w:eastAsia="宋体"/>
          <w:color w:val="auto"/>
          <w:sz w:val="21"/>
          <w:szCs w:val="21"/>
        </w:rPr>
        <w:t>，由此产生的后果由投标人承担。</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ascii="宋体" w:hAnsi="宋体" w:eastAsia="宋体"/>
          <w:color w:val="auto"/>
          <w:sz w:val="21"/>
          <w:szCs w:val="21"/>
        </w:rPr>
        <w:t>投标文件</w:t>
      </w:r>
      <w:r>
        <w:rPr>
          <w:rFonts w:hint="eastAsia" w:ascii="宋体" w:hAnsi="宋体" w:eastAsia="宋体"/>
          <w:color w:val="auto"/>
          <w:sz w:val="21"/>
          <w:szCs w:val="21"/>
        </w:rPr>
        <w:t>正本均须用不褪色墨水书写或打印。投标文件的副本可采用投标文件的正本复印件，每套</w:t>
      </w:r>
      <w:r>
        <w:rPr>
          <w:rFonts w:ascii="宋体" w:hAnsi="宋体" w:eastAsia="宋体"/>
          <w:color w:val="auto"/>
          <w:sz w:val="21"/>
          <w:szCs w:val="21"/>
        </w:rPr>
        <w:t>投标文件</w:t>
      </w:r>
      <w:r>
        <w:rPr>
          <w:rFonts w:hint="eastAsia" w:ascii="宋体" w:hAnsi="宋体" w:eastAsia="宋体"/>
          <w:color w:val="auto"/>
          <w:sz w:val="21"/>
          <w:szCs w:val="21"/>
        </w:rPr>
        <w:t>应当标</w:t>
      </w:r>
      <w:r>
        <w:rPr>
          <w:rFonts w:ascii="宋体" w:hAnsi="宋体" w:eastAsia="宋体"/>
          <w:color w:val="auto"/>
          <w:sz w:val="21"/>
          <w:szCs w:val="21"/>
        </w:rPr>
        <w:t>明“正本”</w:t>
      </w:r>
      <w:r>
        <w:rPr>
          <w:rFonts w:hint="eastAsia" w:ascii="宋体" w:hAnsi="宋体" w:eastAsia="宋体"/>
          <w:color w:val="auto"/>
          <w:sz w:val="21"/>
          <w:szCs w:val="21"/>
        </w:rPr>
        <w:t>、</w:t>
      </w:r>
      <w:r>
        <w:rPr>
          <w:rFonts w:ascii="宋体" w:hAnsi="宋体" w:eastAsia="宋体"/>
          <w:color w:val="auto"/>
          <w:sz w:val="21"/>
          <w:szCs w:val="21"/>
        </w:rPr>
        <w:t>“副本”</w:t>
      </w:r>
      <w:r>
        <w:rPr>
          <w:rFonts w:hint="eastAsia" w:ascii="宋体" w:hAnsi="宋体" w:eastAsia="宋体"/>
          <w:color w:val="auto"/>
          <w:sz w:val="21"/>
          <w:szCs w:val="21"/>
        </w:rPr>
        <w:t>的字样</w:t>
      </w:r>
      <w:r>
        <w:rPr>
          <w:rFonts w:ascii="宋体" w:hAnsi="宋体" w:eastAsia="宋体"/>
          <w:color w:val="auto"/>
          <w:sz w:val="21"/>
          <w:szCs w:val="21"/>
        </w:rPr>
        <w:t>。</w:t>
      </w:r>
      <w:r>
        <w:rPr>
          <w:rFonts w:hint="eastAsia" w:ascii="宋体" w:hAnsi="宋体" w:eastAsia="宋体"/>
          <w:color w:val="auto"/>
          <w:sz w:val="21"/>
          <w:szCs w:val="21"/>
        </w:rPr>
        <w:t>投标文件的【正本】及所有【副本】的封面及骑缝均须加盖投标人公章（文件每页盖章等同于盖骑缝章）。若</w:t>
      </w:r>
      <w:r>
        <w:rPr>
          <w:rFonts w:ascii="宋体" w:hAnsi="宋体" w:eastAsia="宋体"/>
          <w:color w:val="auto"/>
          <w:sz w:val="21"/>
          <w:szCs w:val="21"/>
        </w:rPr>
        <w:t>正本</w:t>
      </w:r>
      <w:r>
        <w:rPr>
          <w:rFonts w:hint="eastAsia" w:ascii="宋体" w:hAnsi="宋体" w:eastAsia="宋体"/>
          <w:color w:val="auto"/>
          <w:sz w:val="21"/>
          <w:szCs w:val="21"/>
        </w:rPr>
        <w:t>与</w:t>
      </w:r>
      <w:r>
        <w:rPr>
          <w:rFonts w:ascii="宋体" w:hAnsi="宋体" w:eastAsia="宋体"/>
          <w:color w:val="auto"/>
          <w:sz w:val="21"/>
          <w:szCs w:val="21"/>
        </w:rPr>
        <w:t>副本</w:t>
      </w:r>
      <w:r>
        <w:rPr>
          <w:rFonts w:hint="eastAsia" w:ascii="宋体" w:hAnsi="宋体" w:eastAsia="宋体"/>
          <w:color w:val="auto"/>
          <w:sz w:val="21"/>
          <w:szCs w:val="21"/>
        </w:rPr>
        <w:t>不符，以</w:t>
      </w:r>
      <w:r>
        <w:rPr>
          <w:rFonts w:ascii="宋体" w:hAnsi="宋体" w:eastAsia="宋体"/>
          <w:color w:val="auto"/>
          <w:sz w:val="21"/>
          <w:szCs w:val="21"/>
        </w:rPr>
        <w:t>正本为准。</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联合体投标文件的【正本】及【副本】的封面及骑缝均须加盖所有联合体组成成员的公章。（文件每页盖章等同于盖骑缝章）</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建议投标人将投标文件正本和所有的副本分开密封装在单独的信封中，且在信封上标明“正本”“副本”字样。然后再将所有信封封装在一个外层信封中。电子文件与正本密封包装，随正本提交。</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ascii="宋体" w:hAnsi="宋体" w:eastAsia="宋体"/>
          <w:color w:val="auto"/>
          <w:sz w:val="21"/>
          <w:szCs w:val="21"/>
        </w:rPr>
        <w:t>电子文件内容包括：由投标人自行制作的与正本文件一致的所有文件。电子文件</w:t>
      </w:r>
      <w:r>
        <w:rPr>
          <w:rFonts w:hint="eastAsia" w:ascii="宋体" w:hAnsi="宋体" w:eastAsia="宋体"/>
          <w:color w:val="auto"/>
          <w:sz w:val="21"/>
          <w:szCs w:val="21"/>
        </w:rPr>
        <w:t>由</w:t>
      </w:r>
      <w:r>
        <w:rPr>
          <w:rFonts w:ascii="宋体" w:hAnsi="宋体" w:eastAsia="宋体"/>
          <w:color w:val="auto"/>
          <w:sz w:val="21"/>
          <w:szCs w:val="21"/>
        </w:rPr>
        <w:t>光盘</w:t>
      </w:r>
      <w:r>
        <w:rPr>
          <w:rFonts w:hint="eastAsia" w:ascii="宋体" w:hAnsi="宋体" w:eastAsia="宋体"/>
          <w:color w:val="auto"/>
          <w:sz w:val="21"/>
          <w:szCs w:val="21"/>
        </w:rPr>
        <w:t>或U盘</w:t>
      </w:r>
      <w:r>
        <w:rPr>
          <w:rFonts w:ascii="宋体" w:hAnsi="宋体" w:eastAsia="宋体"/>
          <w:color w:val="auto"/>
          <w:sz w:val="21"/>
          <w:szCs w:val="21"/>
        </w:rPr>
        <w:t>储存</w:t>
      </w:r>
      <w:r>
        <w:rPr>
          <w:rFonts w:hint="eastAsia" w:ascii="宋体" w:hAnsi="宋体" w:eastAsia="宋体"/>
          <w:color w:val="auto"/>
          <w:sz w:val="21"/>
          <w:szCs w:val="21"/>
        </w:rPr>
        <w:t>，并注明投标人名称及项目名称、采购项目编号，随投标文件一同密封提交。</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ascii="宋体" w:hAnsi="宋体" w:eastAsia="宋体"/>
          <w:color w:val="auto"/>
          <w:sz w:val="21"/>
          <w:szCs w:val="21"/>
        </w:rPr>
        <w:t>除投标人对错误处修改外，全套投标文件应无涂改或行间插字和增删。如有修改，修改处</w:t>
      </w:r>
      <w:r>
        <w:rPr>
          <w:rFonts w:hint="eastAsia" w:ascii="宋体" w:hAnsi="宋体" w:eastAsia="宋体"/>
          <w:color w:val="auto"/>
          <w:sz w:val="21"/>
          <w:szCs w:val="21"/>
        </w:rPr>
        <w:t>须由法定代表人或其正式授权代表在旁边签字及盖章</w:t>
      </w:r>
      <w:r>
        <w:rPr>
          <w:rFonts w:ascii="宋体" w:hAnsi="宋体" w:eastAsia="宋体"/>
          <w:color w:val="auto"/>
          <w:sz w:val="21"/>
          <w:szCs w:val="21"/>
        </w:rPr>
        <w:t>。</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 xml:space="preserve">所有的信封均应注明： </w:t>
      </w:r>
    </w:p>
    <w:p>
      <w:pPr>
        <w:widowControl w:val="0"/>
        <w:numPr>
          <w:ilvl w:val="0"/>
          <w:numId w:val="6"/>
        </w:numPr>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收件人：广东三方诚信招标有限公司东莞分公司</w:t>
      </w:r>
    </w:p>
    <w:p>
      <w:pPr>
        <w:widowControl w:val="0"/>
        <w:numPr>
          <w:ilvl w:val="0"/>
          <w:numId w:val="6"/>
        </w:numPr>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投标单位名称：</w:t>
      </w:r>
    </w:p>
    <w:p>
      <w:pPr>
        <w:widowControl w:val="0"/>
        <w:numPr>
          <w:ilvl w:val="0"/>
          <w:numId w:val="6"/>
        </w:numPr>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项目名称：</w:t>
      </w:r>
    </w:p>
    <w:p>
      <w:pPr>
        <w:widowControl w:val="0"/>
        <w:numPr>
          <w:ilvl w:val="0"/>
          <w:numId w:val="6"/>
        </w:numPr>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采购项目编号：</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采购代理机构将拒绝接收出现以下情况的投标文件：</w:t>
      </w:r>
    </w:p>
    <w:p>
      <w:pPr>
        <w:widowControl w:val="0"/>
        <w:numPr>
          <w:ilvl w:val="0"/>
          <w:numId w:val="7"/>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采用透明包装进行密封或未进行密封的投标文件；</w:t>
      </w:r>
    </w:p>
    <w:p>
      <w:pPr>
        <w:widowControl w:val="0"/>
        <w:numPr>
          <w:ilvl w:val="0"/>
          <w:numId w:val="7"/>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密封破损导致投标文件内容直接或间接泄露的投标文件；</w:t>
      </w:r>
    </w:p>
    <w:p>
      <w:pPr>
        <w:widowControl w:val="0"/>
        <w:numPr>
          <w:ilvl w:val="0"/>
          <w:numId w:val="7"/>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密封信封上项目编号错误的投标文件；</w:t>
      </w:r>
    </w:p>
    <w:p>
      <w:pPr>
        <w:widowControl w:val="0"/>
        <w:numPr>
          <w:ilvl w:val="0"/>
          <w:numId w:val="7"/>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未进行项目报名的单位（以采购代理机构报名表及报名发票为准）递交的投标文件；</w:t>
      </w:r>
    </w:p>
    <w:p>
      <w:pPr>
        <w:widowControl w:val="0"/>
        <w:numPr>
          <w:ilvl w:val="0"/>
          <w:numId w:val="7"/>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项目名称出现严重歧义或未标注所投项目信息导致无法分辨所投项目为本项目的投标文件；</w:t>
      </w:r>
    </w:p>
    <w:p>
      <w:pPr>
        <w:widowControl w:val="0"/>
        <w:numPr>
          <w:ilvl w:val="0"/>
          <w:numId w:val="7"/>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多个包号一并密封的投标文件；</w:t>
      </w:r>
    </w:p>
    <w:p>
      <w:pPr>
        <w:widowControl w:val="0"/>
        <w:numPr>
          <w:ilvl w:val="0"/>
          <w:numId w:val="7"/>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采用传真、电传的投标文件；</w:t>
      </w:r>
    </w:p>
    <w:p>
      <w:pPr>
        <w:widowControl w:val="0"/>
        <w:numPr>
          <w:ilvl w:val="0"/>
          <w:numId w:val="7"/>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招标文件规定的其他情形。</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采购代理机构对所有投标文件的误投或提前启封概不负责。</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投标人同时参加几个包投标时必须按招标文件要求按包号分别制作投标文件，分别密封递交。</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递交的投标文件中所提供的通讯方式应保持联络畅通，因联系不上而导致的所有后果由投标人自行承担。</w:t>
      </w:r>
    </w:p>
    <w:p>
      <w:pPr>
        <w:rPr>
          <w:color w:val="auto"/>
        </w:rPr>
      </w:pPr>
    </w:p>
    <w:p>
      <w:pPr>
        <w:pStyle w:val="6"/>
        <w:widowControl w:val="0"/>
        <w:overflowPunct w:val="0"/>
        <w:spacing w:before="0" w:after="0" w:line="240" w:lineRule="auto"/>
        <w:rPr>
          <w:rFonts w:ascii="宋体" w:hAnsi="宋体" w:eastAsia="宋体"/>
          <w:color w:val="auto"/>
          <w:sz w:val="21"/>
          <w:szCs w:val="21"/>
        </w:rPr>
      </w:pPr>
      <w:bookmarkStart w:id="96" w:name="_Toc8628"/>
      <w:r>
        <w:rPr>
          <w:rFonts w:hint="eastAsia" w:ascii="宋体" w:hAnsi="宋体" w:eastAsia="宋体"/>
          <w:color w:val="auto"/>
          <w:sz w:val="21"/>
          <w:szCs w:val="21"/>
        </w:rPr>
        <w:t>18.迟交的投标文件</w:t>
      </w:r>
      <w:bookmarkEnd w:id="96"/>
    </w:p>
    <w:p>
      <w:pPr>
        <w:pStyle w:val="24"/>
        <w:widowControl w:val="0"/>
        <w:numPr>
          <w:ilvl w:val="0"/>
          <w:numId w:val="5"/>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投标人在投标截止时间之后提交的投标文件，采购代理机构将拒绝接收</w:t>
      </w:r>
      <w:r>
        <w:rPr>
          <w:rFonts w:ascii="宋体" w:hAnsi="宋体" w:eastAsia="宋体"/>
          <w:color w:val="auto"/>
          <w:sz w:val="21"/>
          <w:szCs w:val="21"/>
        </w:rPr>
        <w:t>。</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有违反其他法律规定情形的，采购代理机构将拒绝接收。</w:t>
      </w:r>
    </w:p>
    <w:p>
      <w:pPr>
        <w:rPr>
          <w:color w:val="auto"/>
        </w:rPr>
      </w:pPr>
    </w:p>
    <w:p>
      <w:pPr>
        <w:pStyle w:val="6"/>
        <w:widowControl w:val="0"/>
        <w:overflowPunct w:val="0"/>
        <w:spacing w:before="0" w:after="0" w:line="240" w:lineRule="auto"/>
        <w:rPr>
          <w:rFonts w:ascii="宋体" w:hAnsi="宋体" w:eastAsia="宋体"/>
          <w:color w:val="auto"/>
          <w:sz w:val="21"/>
          <w:szCs w:val="21"/>
        </w:rPr>
      </w:pPr>
      <w:bookmarkStart w:id="97" w:name="_Toc13212"/>
      <w:r>
        <w:rPr>
          <w:rFonts w:hint="eastAsia" w:ascii="宋体" w:hAnsi="宋体" w:eastAsia="宋体"/>
          <w:color w:val="auto"/>
          <w:sz w:val="21"/>
          <w:szCs w:val="21"/>
        </w:rPr>
        <w:t>19.投标样品（如需提交）</w:t>
      </w:r>
      <w:bookmarkEnd w:id="97"/>
    </w:p>
    <w:p>
      <w:pPr>
        <w:pStyle w:val="24"/>
        <w:widowControl w:val="0"/>
        <w:numPr>
          <w:ilvl w:val="0"/>
          <w:numId w:val="5"/>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如有必要，采购代理机构可以要求投标人提供本服务项目涉及的部分设备或产品样品，投标人在投标时应提交《样品清单》。</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为方便评标，投标人在提供样品时，应在所提供的样品表面显著位置标注投标人的名称、包号、样品名称、招标文件规定的服务或货物编号。</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color w:val="auto"/>
        </w:rPr>
      </w:pPr>
    </w:p>
    <w:p>
      <w:pPr>
        <w:pStyle w:val="6"/>
        <w:widowControl w:val="0"/>
        <w:overflowPunct w:val="0"/>
        <w:spacing w:before="0" w:after="0" w:line="240" w:lineRule="auto"/>
        <w:rPr>
          <w:rFonts w:ascii="宋体" w:hAnsi="宋体" w:eastAsia="宋体"/>
          <w:color w:val="auto"/>
          <w:sz w:val="21"/>
          <w:szCs w:val="21"/>
        </w:rPr>
      </w:pPr>
      <w:bookmarkStart w:id="98" w:name="_Toc9777"/>
      <w:bookmarkStart w:id="99" w:name="_Toc382049112"/>
      <w:bookmarkStart w:id="100" w:name="_Toc5900"/>
      <w:bookmarkStart w:id="101" w:name="_Toc303084265"/>
      <w:r>
        <w:rPr>
          <w:rFonts w:hint="eastAsia" w:ascii="宋体" w:hAnsi="宋体" w:eastAsia="宋体"/>
          <w:color w:val="auto"/>
          <w:sz w:val="21"/>
          <w:szCs w:val="21"/>
        </w:rPr>
        <w:t>20.投标截止期</w:t>
      </w:r>
      <w:bookmarkEnd w:id="98"/>
      <w:bookmarkEnd w:id="99"/>
      <w:bookmarkEnd w:id="100"/>
      <w:bookmarkEnd w:id="101"/>
    </w:p>
    <w:p>
      <w:pPr>
        <w:pStyle w:val="24"/>
        <w:widowControl w:val="0"/>
        <w:numPr>
          <w:ilvl w:val="0"/>
          <w:numId w:val="5"/>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投标人应在招标文件规定的截止日期和时间内，将投标文件送达到指定地点。</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采购代理机构</w:t>
      </w:r>
      <w:r>
        <w:rPr>
          <w:rFonts w:ascii="宋体" w:hAnsi="宋体" w:eastAsia="宋体"/>
          <w:color w:val="auto"/>
          <w:sz w:val="21"/>
          <w:szCs w:val="21"/>
        </w:rPr>
        <w:t>可按本须知规定以</w:t>
      </w:r>
      <w:r>
        <w:rPr>
          <w:rFonts w:hint="eastAsia" w:ascii="宋体" w:hAnsi="宋体" w:eastAsia="宋体"/>
          <w:color w:val="auto"/>
          <w:sz w:val="21"/>
          <w:szCs w:val="21"/>
        </w:rPr>
        <w:t>澄清或</w:t>
      </w:r>
      <w:r>
        <w:rPr>
          <w:rFonts w:ascii="宋体" w:hAnsi="宋体" w:eastAsia="宋体"/>
          <w:color w:val="auto"/>
          <w:sz w:val="21"/>
          <w:szCs w:val="21"/>
        </w:rPr>
        <w:t>修改通知的方式，酌情延长</w:t>
      </w:r>
      <w:r>
        <w:rPr>
          <w:rFonts w:hint="eastAsia" w:ascii="宋体" w:hAnsi="宋体" w:eastAsia="宋体"/>
          <w:color w:val="auto"/>
          <w:sz w:val="21"/>
          <w:szCs w:val="21"/>
        </w:rPr>
        <w:t>递</w:t>
      </w:r>
      <w:r>
        <w:rPr>
          <w:rFonts w:ascii="宋体" w:hAnsi="宋体" w:eastAsia="宋体"/>
          <w:color w:val="auto"/>
          <w:sz w:val="21"/>
          <w:szCs w:val="21"/>
        </w:rPr>
        <w:t>交投标文件的截止时间。在此情况下，投标人的所有权利和义务以及投标人受制约的截止时间，均以延长后新的投标截止时间为准。</w:t>
      </w:r>
    </w:p>
    <w:p>
      <w:pPr>
        <w:rPr>
          <w:color w:val="auto"/>
        </w:rPr>
      </w:pPr>
    </w:p>
    <w:p>
      <w:pPr>
        <w:pStyle w:val="6"/>
        <w:widowControl w:val="0"/>
        <w:overflowPunct w:val="0"/>
        <w:spacing w:before="0" w:after="0" w:line="240" w:lineRule="auto"/>
        <w:rPr>
          <w:rFonts w:ascii="宋体" w:hAnsi="宋体" w:eastAsia="宋体"/>
          <w:color w:val="auto"/>
          <w:sz w:val="21"/>
          <w:szCs w:val="21"/>
        </w:rPr>
      </w:pPr>
      <w:bookmarkStart w:id="102" w:name="_Toc6003"/>
      <w:r>
        <w:rPr>
          <w:rFonts w:hint="eastAsia" w:ascii="宋体" w:hAnsi="宋体" w:eastAsia="宋体"/>
          <w:color w:val="auto"/>
          <w:sz w:val="21"/>
          <w:szCs w:val="21"/>
        </w:rPr>
        <w:t>21.投标文件的补充、修改与撤回</w:t>
      </w:r>
      <w:bookmarkEnd w:id="102"/>
    </w:p>
    <w:p>
      <w:pPr>
        <w:pStyle w:val="24"/>
        <w:widowControl w:val="0"/>
        <w:numPr>
          <w:ilvl w:val="0"/>
          <w:numId w:val="5"/>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投标文件一经递交不予退还。</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在提交投标文件截止时间至投标有效期满之前，投标人不得撤回其投标，否则其投标保证金将不予退还。</w:t>
      </w:r>
    </w:p>
    <w:p>
      <w:pPr>
        <w:pStyle w:val="2"/>
        <w:rPr>
          <w:color w:val="auto"/>
        </w:rPr>
      </w:pPr>
    </w:p>
    <w:p>
      <w:pPr>
        <w:pStyle w:val="5"/>
        <w:numPr>
          <w:ilvl w:val="0"/>
          <w:numId w:val="4"/>
        </w:numPr>
        <w:spacing w:before="0" w:after="0" w:line="480" w:lineRule="auto"/>
        <w:jc w:val="center"/>
        <w:rPr>
          <w:rFonts w:ascii="宋体" w:hAnsi="宋体" w:eastAsia="宋体"/>
          <w:color w:val="auto"/>
        </w:rPr>
      </w:pPr>
      <w:bookmarkStart w:id="103" w:name="_Toc29574"/>
      <w:r>
        <w:rPr>
          <w:rFonts w:hint="eastAsia" w:ascii="宋体" w:hAnsi="宋体" w:eastAsia="宋体"/>
          <w:color w:val="auto"/>
        </w:rPr>
        <w:t>开标与评标</w:t>
      </w:r>
      <w:bookmarkEnd w:id="103"/>
    </w:p>
    <w:p>
      <w:pPr>
        <w:pStyle w:val="6"/>
        <w:widowControl w:val="0"/>
        <w:overflowPunct w:val="0"/>
        <w:spacing w:before="0" w:after="0" w:line="240" w:lineRule="auto"/>
        <w:rPr>
          <w:rFonts w:ascii="宋体" w:hAnsi="宋体" w:eastAsia="宋体"/>
          <w:color w:val="auto"/>
          <w:sz w:val="21"/>
          <w:szCs w:val="21"/>
        </w:rPr>
      </w:pPr>
      <w:bookmarkStart w:id="104" w:name="_Toc28458"/>
      <w:r>
        <w:rPr>
          <w:rFonts w:hint="eastAsia" w:ascii="宋体" w:hAnsi="宋体" w:eastAsia="宋体"/>
          <w:color w:val="auto"/>
          <w:sz w:val="21"/>
          <w:szCs w:val="21"/>
        </w:rPr>
        <w:t>22.开标</w:t>
      </w:r>
      <w:bookmarkEnd w:id="104"/>
    </w:p>
    <w:p>
      <w:pPr>
        <w:pStyle w:val="24"/>
        <w:widowControl w:val="0"/>
        <w:numPr>
          <w:ilvl w:val="0"/>
          <w:numId w:val="5"/>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采购代理机构按</w:t>
      </w:r>
      <w:r>
        <w:rPr>
          <w:rFonts w:ascii="宋体" w:hAnsi="宋体" w:eastAsia="宋体"/>
          <w:color w:val="auto"/>
          <w:sz w:val="21"/>
          <w:szCs w:val="21"/>
        </w:rPr>
        <w:t>本</w:t>
      </w:r>
      <w:r>
        <w:rPr>
          <w:rFonts w:hint="eastAsia" w:ascii="宋体" w:hAnsi="宋体" w:eastAsia="宋体"/>
          <w:color w:val="auto"/>
          <w:sz w:val="21"/>
          <w:szCs w:val="21"/>
        </w:rPr>
        <w:t>招标文件</w:t>
      </w:r>
      <w:r>
        <w:rPr>
          <w:rFonts w:ascii="宋体" w:hAnsi="宋体" w:eastAsia="宋体"/>
          <w:color w:val="auto"/>
          <w:sz w:val="21"/>
          <w:szCs w:val="21"/>
        </w:rPr>
        <w:t>所规定的时间和地点公开开标，并邀请所有投标人</w:t>
      </w:r>
      <w:r>
        <w:rPr>
          <w:rFonts w:hint="eastAsia" w:ascii="宋体" w:hAnsi="宋体" w:eastAsia="宋体"/>
          <w:color w:val="auto"/>
          <w:sz w:val="21"/>
          <w:szCs w:val="21"/>
        </w:rPr>
        <w:t>代表</w:t>
      </w:r>
      <w:r>
        <w:rPr>
          <w:rFonts w:ascii="宋体" w:hAnsi="宋体" w:eastAsia="宋体"/>
          <w:color w:val="auto"/>
          <w:sz w:val="21"/>
          <w:szCs w:val="21"/>
        </w:rPr>
        <w:t>参加。</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ascii="宋体" w:hAnsi="宋体" w:eastAsia="宋体"/>
          <w:color w:val="auto"/>
          <w:sz w:val="21"/>
          <w:szCs w:val="21"/>
        </w:rPr>
        <w:t>开标程序：</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ascii="宋体" w:hAnsi="宋体" w:eastAsia="宋体"/>
          <w:color w:val="auto"/>
          <w:sz w:val="21"/>
          <w:szCs w:val="21"/>
        </w:rPr>
        <w:t>开标</w:t>
      </w:r>
      <w:r>
        <w:rPr>
          <w:rFonts w:hint="eastAsia" w:ascii="宋体" w:hAnsi="宋体" w:eastAsia="宋体"/>
          <w:color w:val="auto"/>
          <w:sz w:val="21"/>
          <w:szCs w:val="21"/>
        </w:rPr>
        <w:t>会</w:t>
      </w:r>
      <w:r>
        <w:rPr>
          <w:rFonts w:ascii="宋体" w:hAnsi="宋体" w:eastAsia="宋体"/>
          <w:color w:val="auto"/>
          <w:sz w:val="21"/>
          <w:szCs w:val="21"/>
        </w:rPr>
        <w:t>由</w:t>
      </w:r>
      <w:r>
        <w:rPr>
          <w:rFonts w:hint="eastAsia" w:ascii="宋体" w:hAnsi="宋体" w:eastAsia="宋体"/>
          <w:color w:val="auto"/>
          <w:sz w:val="21"/>
          <w:szCs w:val="21"/>
        </w:rPr>
        <w:t>采购代理机构</w:t>
      </w:r>
      <w:r>
        <w:rPr>
          <w:rFonts w:ascii="宋体" w:hAnsi="宋体" w:eastAsia="宋体"/>
          <w:color w:val="auto"/>
          <w:sz w:val="21"/>
          <w:szCs w:val="21"/>
        </w:rPr>
        <w:t>主持</w:t>
      </w:r>
      <w:r>
        <w:rPr>
          <w:rFonts w:hint="eastAsia" w:ascii="宋体" w:hAnsi="宋体" w:eastAsia="宋体"/>
          <w:color w:val="auto"/>
          <w:sz w:val="21"/>
          <w:szCs w:val="21"/>
        </w:rPr>
        <w:t>，投标人的法定代表人或其授权代表携带有效身份证明准时参加开标会并签名报到。</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投标人未参加开标的，视同认可开标结果。</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合格投标人不足3家的，不得开标；</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开标过程应当由采购人或者采购代理机构负责记录，由参加开标的各投标人代表和相关工作人员签字确认。</w:t>
      </w:r>
    </w:p>
    <w:p>
      <w:pPr>
        <w:widowControl w:val="0"/>
        <w:adjustRightInd/>
        <w:snapToGrid/>
        <w:spacing w:after="0" w:line="360" w:lineRule="exact"/>
        <w:ind w:left="567"/>
        <w:jc w:val="both"/>
        <w:rPr>
          <w:color w:val="auto"/>
        </w:rPr>
      </w:pPr>
    </w:p>
    <w:p>
      <w:pPr>
        <w:pStyle w:val="6"/>
        <w:widowControl w:val="0"/>
        <w:overflowPunct w:val="0"/>
        <w:spacing w:before="0" w:after="0" w:line="240" w:lineRule="auto"/>
        <w:rPr>
          <w:rFonts w:ascii="宋体" w:hAnsi="宋体" w:eastAsia="宋体"/>
          <w:color w:val="auto"/>
          <w:sz w:val="21"/>
          <w:szCs w:val="21"/>
        </w:rPr>
      </w:pPr>
      <w:bookmarkStart w:id="105" w:name="_Toc5524"/>
      <w:r>
        <w:rPr>
          <w:rFonts w:hint="eastAsia" w:ascii="宋体" w:hAnsi="宋体" w:eastAsia="宋体"/>
          <w:color w:val="auto"/>
          <w:sz w:val="21"/>
          <w:szCs w:val="21"/>
        </w:rPr>
        <w:t>23.评标委员会及评标方法</w:t>
      </w:r>
      <w:bookmarkEnd w:id="105"/>
    </w:p>
    <w:p>
      <w:pPr>
        <w:pStyle w:val="24"/>
        <w:widowControl w:val="0"/>
        <w:numPr>
          <w:ilvl w:val="0"/>
          <w:numId w:val="5"/>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评标委员会根据招标项目的特点进行组建，并负责评标工作。</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评审方法：本次招标的评审方法采用综合评分法。</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定标原则：在最大限度</w:t>
      </w:r>
      <w:r>
        <w:rPr>
          <w:rFonts w:ascii="宋体" w:hAnsi="宋体" w:eastAsia="宋体"/>
          <w:color w:val="auto"/>
          <w:sz w:val="21"/>
          <w:szCs w:val="21"/>
        </w:rPr>
        <w:t>满足招标文件</w:t>
      </w:r>
      <w:r>
        <w:rPr>
          <w:rFonts w:hint="eastAsia" w:ascii="宋体" w:hAnsi="宋体" w:eastAsia="宋体"/>
          <w:color w:val="auto"/>
          <w:sz w:val="21"/>
          <w:szCs w:val="21"/>
        </w:rPr>
        <w:t>实质性要求前提下，按照招标文件规定的各项评价因素进行量化打分，以评标总得分最高的投标人作为中标候选人或中标人。</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rPr>
          <w:color w:val="auto"/>
        </w:rPr>
      </w:pPr>
    </w:p>
    <w:p>
      <w:pPr>
        <w:pStyle w:val="6"/>
        <w:widowControl w:val="0"/>
        <w:overflowPunct w:val="0"/>
        <w:spacing w:before="0" w:after="0" w:line="240" w:lineRule="auto"/>
        <w:rPr>
          <w:rFonts w:ascii="宋体" w:hAnsi="宋体" w:eastAsia="宋体"/>
          <w:color w:val="auto"/>
          <w:sz w:val="21"/>
          <w:szCs w:val="21"/>
        </w:rPr>
      </w:pPr>
      <w:bookmarkStart w:id="106" w:name="_Toc15231"/>
      <w:r>
        <w:rPr>
          <w:rFonts w:hint="eastAsia" w:ascii="宋体" w:hAnsi="宋体" w:eastAsia="宋体"/>
          <w:color w:val="auto"/>
          <w:sz w:val="21"/>
          <w:szCs w:val="21"/>
        </w:rPr>
        <w:t>24.评审原则及评标过程的保密</w:t>
      </w:r>
      <w:bookmarkEnd w:id="106"/>
    </w:p>
    <w:p>
      <w:pPr>
        <w:pStyle w:val="24"/>
        <w:widowControl w:val="0"/>
        <w:numPr>
          <w:ilvl w:val="0"/>
          <w:numId w:val="5"/>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评审的基本原则：评标委员会将依据《中华人民共和国政府采购法》及国家和地方政府有关法规的规定，遵循“客观、公正、审慎”的原则进行评审工作。</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从公开开标到签订合同，凡与审查、澄清、评审和投标有关的资料，均不得向投标人及与评标无关的其他人透露。</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任何单位和个人不得非法干预、影响评标的过程和结果。</w:t>
      </w:r>
    </w:p>
    <w:p>
      <w:pPr>
        <w:rPr>
          <w:color w:val="auto"/>
        </w:rPr>
      </w:pPr>
    </w:p>
    <w:p>
      <w:pPr>
        <w:pStyle w:val="6"/>
        <w:widowControl w:val="0"/>
        <w:overflowPunct w:val="0"/>
        <w:spacing w:before="0" w:after="0" w:line="240" w:lineRule="auto"/>
        <w:rPr>
          <w:rFonts w:ascii="宋体" w:hAnsi="宋体" w:eastAsia="宋体"/>
          <w:color w:val="auto"/>
          <w:sz w:val="21"/>
          <w:szCs w:val="21"/>
        </w:rPr>
      </w:pPr>
      <w:bookmarkStart w:id="107" w:name="_Toc3762"/>
      <w:r>
        <w:rPr>
          <w:rFonts w:hint="eastAsia" w:ascii="宋体" w:hAnsi="宋体" w:eastAsia="宋体"/>
          <w:color w:val="auto"/>
          <w:sz w:val="21"/>
          <w:szCs w:val="21"/>
        </w:rPr>
        <w:t>25.投标文件的初审</w:t>
      </w:r>
      <w:bookmarkEnd w:id="107"/>
    </w:p>
    <w:p>
      <w:pPr>
        <w:pStyle w:val="24"/>
        <w:widowControl w:val="0"/>
        <w:numPr>
          <w:ilvl w:val="0"/>
          <w:numId w:val="5"/>
        </w:numPr>
        <w:tabs>
          <w:tab w:val="left" w:pos="907"/>
        </w:tabs>
        <w:adjustRightInd/>
        <w:snapToGrid/>
        <w:spacing w:after="0" w:line="360" w:lineRule="exact"/>
        <w:ind w:firstLineChars="0"/>
        <w:jc w:val="both"/>
        <w:rPr>
          <w:rFonts w:ascii="宋体" w:hAnsi="宋体" w:eastAsia="宋体"/>
          <w:vanish/>
          <w:color w:val="auto"/>
          <w:sz w:val="21"/>
          <w:szCs w:val="21"/>
        </w:rPr>
      </w:pPr>
    </w:p>
    <w:p>
      <w:pPr>
        <w:widowControl w:val="0"/>
        <w:numPr>
          <w:ilvl w:val="1"/>
          <w:numId w:val="5"/>
        </w:numPr>
        <w:tabs>
          <w:tab w:val="left" w:pos="907"/>
        </w:tabs>
        <w:adjustRightInd/>
        <w:snapToGrid/>
        <w:spacing w:after="0" w:line="360" w:lineRule="exact"/>
        <w:jc w:val="both"/>
        <w:rPr>
          <w:rFonts w:ascii="宋体" w:hAnsi="宋体" w:eastAsia="宋体"/>
          <w:b/>
          <w:color w:val="auto"/>
          <w:sz w:val="21"/>
          <w:szCs w:val="21"/>
        </w:rPr>
      </w:pPr>
      <w:r>
        <w:rPr>
          <w:rFonts w:hint="eastAsia" w:ascii="宋体" w:hAnsi="宋体" w:eastAsia="宋体"/>
          <w:color w:val="auto"/>
          <w:sz w:val="21"/>
          <w:szCs w:val="21"/>
        </w:rPr>
        <w:t>开标结束后，采购人或者采购代理机构将依法对投标人的资格进行审查。资格审查时，投标人存在不符合资格性检查所要求事项情况的，投标无效。未通过资格审查的投标人不进入符合性审查的评审，</w:t>
      </w:r>
      <w:r>
        <w:rPr>
          <w:rFonts w:hint="eastAsia" w:ascii="宋体" w:hAnsi="宋体" w:eastAsia="宋体"/>
          <w:b/>
          <w:color w:val="auto"/>
          <w:sz w:val="21"/>
          <w:szCs w:val="21"/>
        </w:rPr>
        <w:t>资格性检查中发现下列情形之一的，其投标作废标处理：</w:t>
      </w:r>
    </w:p>
    <w:p>
      <w:pPr>
        <w:widowControl w:val="0"/>
        <w:tabs>
          <w:tab w:val="left" w:pos="907"/>
        </w:tabs>
        <w:adjustRightInd/>
        <w:snapToGrid/>
        <w:spacing w:after="0" w:line="360" w:lineRule="exact"/>
        <w:ind w:left="567"/>
        <w:jc w:val="both"/>
        <w:rPr>
          <w:rFonts w:ascii="宋体" w:hAnsi="宋体" w:eastAsia="宋体"/>
          <w:b/>
          <w:color w:val="auto"/>
          <w:sz w:val="21"/>
          <w:szCs w:val="21"/>
        </w:rPr>
      </w:pPr>
      <w:r>
        <w:rPr>
          <w:rFonts w:hint="eastAsia" w:ascii="宋体" w:hAnsi="宋体" w:eastAsia="宋体"/>
          <w:b/>
          <w:color w:val="auto"/>
          <w:sz w:val="21"/>
          <w:szCs w:val="21"/>
        </w:rPr>
        <w:t>1) 资格瑕疵</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包括但不限于：①资格证明文件未提供或不符合招标文件要求的；</w:t>
      </w:r>
      <w:r>
        <w:rPr>
          <w:rFonts w:ascii="宋体" w:hAnsi="宋体" w:eastAsia="宋体"/>
          <w:color w:val="auto"/>
          <w:sz w:val="21"/>
          <w:szCs w:val="21"/>
        </w:rPr>
        <w:t xml:space="preserve"> </w:t>
      </w:r>
      <w:r>
        <w:rPr>
          <w:rFonts w:hint="eastAsia" w:ascii="宋体" w:hAnsi="宋体" w:eastAsia="宋体"/>
          <w:color w:val="auto"/>
          <w:sz w:val="21"/>
          <w:szCs w:val="21"/>
        </w:rPr>
        <w:t>②资格证明文件有效期过期的；③《营业执照》复印件（加盖公章）或《事业单位法人证书》复印件（加盖公章）或其他主体证书复印件（加盖公章）未提供或有效期过期的；④提供的资质材料模糊不清导致无法辨认的。</w:t>
      </w:r>
    </w:p>
    <w:p>
      <w:pPr>
        <w:widowControl w:val="0"/>
        <w:tabs>
          <w:tab w:val="left" w:pos="907"/>
        </w:tabs>
        <w:adjustRightInd/>
        <w:snapToGrid/>
        <w:spacing w:after="0" w:line="360" w:lineRule="exact"/>
        <w:ind w:left="567"/>
        <w:jc w:val="both"/>
        <w:rPr>
          <w:rFonts w:ascii="宋体" w:hAnsi="宋体" w:eastAsia="宋体"/>
          <w:b/>
          <w:color w:val="auto"/>
          <w:sz w:val="21"/>
          <w:szCs w:val="21"/>
        </w:rPr>
      </w:pPr>
      <w:r>
        <w:rPr>
          <w:rFonts w:hint="eastAsia" w:ascii="宋体" w:hAnsi="宋体" w:eastAsia="宋体"/>
          <w:b/>
          <w:color w:val="auto"/>
          <w:sz w:val="21"/>
          <w:szCs w:val="21"/>
        </w:rPr>
        <w:t>2) 投标保证金瑕疵</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包括但不限于：①投标人未按招标文件要求提交投标保证金；②提交方式、提交时间、提交金额不符合招标文件要求；③投标保证金有效期不符合招标文件要求。</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eastAsia="宋体"/>
          <w:b/>
          <w:color w:val="auto"/>
          <w:sz w:val="21"/>
          <w:szCs w:val="21"/>
        </w:rPr>
        <w:t>发现下列情况之一的，其投标将作废标处理</w:t>
      </w:r>
      <w:r>
        <w:rPr>
          <w:rFonts w:hint="eastAsia" w:ascii="宋体" w:hAnsi="宋体" w:eastAsia="宋体"/>
          <w:color w:val="auto"/>
          <w:sz w:val="21"/>
          <w:szCs w:val="21"/>
        </w:rPr>
        <w:t>：</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b/>
          <w:color w:val="auto"/>
          <w:sz w:val="21"/>
          <w:szCs w:val="21"/>
        </w:rPr>
        <w:t>1) 投标文件的有效性、完整性瑕疵</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包括但不限于：①投标文件的数量、制作不符合要求、投标文件内容与采购内容不符的（包括但不限于投标文件项目采购项目编号错误，投标文件项目名称错误导致无法分表所投项目为本项目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widowControl w:val="0"/>
        <w:tabs>
          <w:tab w:val="left" w:pos="907"/>
        </w:tabs>
        <w:adjustRightInd/>
        <w:snapToGrid/>
        <w:spacing w:after="0" w:line="360" w:lineRule="exact"/>
        <w:ind w:left="567"/>
        <w:jc w:val="both"/>
        <w:rPr>
          <w:rFonts w:ascii="宋体" w:hAnsi="宋体" w:eastAsia="宋体"/>
          <w:b/>
          <w:color w:val="auto"/>
          <w:sz w:val="21"/>
          <w:szCs w:val="21"/>
        </w:rPr>
      </w:pPr>
      <w:r>
        <w:rPr>
          <w:rFonts w:hint="eastAsia" w:ascii="宋体" w:hAnsi="宋体" w:eastAsia="宋体"/>
          <w:b/>
          <w:color w:val="auto"/>
          <w:sz w:val="21"/>
          <w:szCs w:val="21"/>
        </w:rPr>
        <w:t>2) 技术响应瑕疵</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投标方案不唯一；⑦明显不符合技术规格、技术标准要求的；⑧其他未实质性响应招标文件技术要求的。</w:t>
      </w:r>
    </w:p>
    <w:p>
      <w:pPr>
        <w:widowControl w:val="0"/>
        <w:tabs>
          <w:tab w:val="left" w:pos="907"/>
        </w:tabs>
        <w:adjustRightInd/>
        <w:snapToGrid/>
        <w:spacing w:after="0" w:line="360" w:lineRule="exact"/>
        <w:ind w:left="567"/>
        <w:jc w:val="both"/>
        <w:rPr>
          <w:rFonts w:ascii="宋体" w:hAnsi="宋体" w:eastAsia="宋体"/>
          <w:b/>
          <w:color w:val="auto"/>
          <w:sz w:val="21"/>
          <w:szCs w:val="21"/>
        </w:rPr>
      </w:pPr>
      <w:r>
        <w:rPr>
          <w:rFonts w:hint="eastAsia" w:ascii="宋体" w:hAnsi="宋体" w:eastAsia="宋体"/>
          <w:b/>
          <w:color w:val="auto"/>
          <w:sz w:val="21"/>
          <w:szCs w:val="21"/>
        </w:rPr>
        <w:t>3) 商务响应瑕疵</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采购人不能接受的条件的；⑥其他未实质性响应招标文件商务要求的。</w:t>
      </w:r>
    </w:p>
    <w:p>
      <w:pPr>
        <w:widowControl w:val="0"/>
        <w:tabs>
          <w:tab w:val="left" w:pos="907"/>
        </w:tabs>
        <w:adjustRightInd/>
        <w:snapToGrid/>
        <w:spacing w:after="0" w:line="360" w:lineRule="exact"/>
        <w:ind w:left="567"/>
        <w:jc w:val="both"/>
        <w:rPr>
          <w:rFonts w:ascii="宋体" w:hAnsi="宋体" w:eastAsia="宋体"/>
          <w:b/>
          <w:color w:val="auto"/>
          <w:sz w:val="21"/>
          <w:szCs w:val="21"/>
        </w:rPr>
      </w:pPr>
      <w:r>
        <w:rPr>
          <w:rFonts w:hint="eastAsia" w:ascii="宋体" w:hAnsi="宋体" w:eastAsia="宋体"/>
          <w:b/>
          <w:color w:val="auto"/>
          <w:sz w:val="21"/>
          <w:szCs w:val="21"/>
        </w:rPr>
        <w:t>4）投标报价瑕疵</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包括但不限于：①投标报价超过本招标文件明确的项目预算或文件明确的最高限价；②未按招标文件要求进行报价的；③报价内容或报价格式不符合招标文件要求的；④投标报价有严重缺漏项的。</w:t>
      </w:r>
    </w:p>
    <w:p>
      <w:pPr>
        <w:widowControl w:val="0"/>
        <w:tabs>
          <w:tab w:val="left" w:pos="907"/>
        </w:tabs>
        <w:adjustRightInd/>
        <w:snapToGrid/>
        <w:spacing w:after="0" w:line="360" w:lineRule="exact"/>
        <w:ind w:left="567"/>
        <w:jc w:val="both"/>
        <w:rPr>
          <w:rFonts w:ascii="宋体" w:hAnsi="宋体" w:eastAsia="宋体"/>
          <w:b/>
          <w:color w:val="auto"/>
          <w:sz w:val="21"/>
          <w:szCs w:val="21"/>
        </w:rPr>
      </w:pPr>
      <w:r>
        <w:rPr>
          <w:rFonts w:hint="eastAsia" w:ascii="宋体" w:hAnsi="宋体" w:eastAsia="宋体"/>
          <w:b/>
          <w:color w:val="auto"/>
          <w:sz w:val="21"/>
          <w:szCs w:val="21"/>
        </w:rPr>
        <w:t>5）违规行为</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包括但不限于：①以他人的名义投标、串通投标、以行贿手段谋取中标或者以其他弄虚作假方式投标的；②扰乱开标、评标秩序，干扰招标工作正常进行的。③存在经评标委员会认定的其他违规违法行为。</w:t>
      </w:r>
    </w:p>
    <w:p>
      <w:pPr>
        <w:widowControl w:val="0"/>
        <w:tabs>
          <w:tab w:val="left" w:pos="907"/>
        </w:tabs>
        <w:adjustRightInd/>
        <w:snapToGrid/>
        <w:spacing w:after="0" w:line="360" w:lineRule="exact"/>
        <w:ind w:left="567"/>
        <w:jc w:val="both"/>
        <w:rPr>
          <w:rFonts w:ascii="宋体" w:hAnsi="宋体" w:eastAsia="宋体"/>
          <w:b/>
          <w:color w:val="auto"/>
          <w:sz w:val="21"/>
          <w:szCs w:val="21"/>
        </w:rPr>
      </w:pPr>
      <w:r>
        <w:rPr>
          <w:rFonts w:hint="eastAsia" w:ascii="宋体" w:hAnsi="宋体" w:eastAsia="宋体"/>
          <w:b/>
          <w:color w:val="auto"/>
          <w:sz w:val="21"/>
          <w:szCs w:val="21"/>
        </w:rPr>
        <w:t>6)法律法规及招标文件中规定的其它情形。</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根据项目情况，评标委员会有权决定招标文件中“可能导致废标”或“可能导致其投标被拒绝”等具体条款是否实施“废标”或“投标被拒绝”，但对同一条款的裁决应适用于每个投标人。</w:t>
      </w:r>
    </w:p>
    <w:p>
      <w:pPr>
        <w:widowControl w:val="0"/>
        <w:numPr>
          <w:ilvl w:val="1"/>
          <w:numId w:val="5"/>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对于投标文件中不构成实质性偏差的不正规、不一致或不规则，评标委员会可以接受，但这种接受不能损害或影响任何投标人的相对排序。</w:t>
      </w:r>
    </w:p>
    <w:p>
      <w:pPr>
        <w:widowControl w:val="0"/>
        <w:numPr>
          <w:ilvl w:val="1"/>
          <w:numId w:val="5"/>
        </w:numPr>
        <w:adjustRightInd/>
        <w:snapToGrid/>
        <w:spacing w:after="0" w:line="360" w:lineRule="exact"/>
        <w:jc w:val="both"/>
        <w:rPr>
          <w:color w:val="auto"/>
        </w:rPr>
      </w:pPr>
      <w:r>
        <w:rPr>
          <w:rFonts w:hint="eastAsia" w:ascii="宋体" w:hAnsi="宋体" w:eastAsia="宋体"/>
          <w:color w:val="auto"/>
          <w:sz w:val="21"/>
          <w:szCs w:val="21"/>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rPr>
          <w:color w:val="auto"/>
        </w:rPr>
      </w:pPr>
    </w:p>
    <w:p>
      <w:pPr>
        <w:pStyle w:val="6"/>
        <w:widowControl w:val="0"/>
        <w:overflowPunct w:val="0"/>
        <w:spacing w:before="0" w:after="0" w:line="240" w:lineRule="auto"/>
        <w:rPr>
          <w:rFonts w:ascii="宋体" w:hAnsi="宋体" w:eastAsia="宋体"/>
          <w:color w:val="auto"/>
          <w:sz w:val="21"/>
          <w:szCs w:val="21"/>
        </w:rPr>
      </w:pPr>
      <w:bookmarkStart w:id="108" w:name="_Toc21742"/>
      <w:r>
        <w:rPr>
          <w:rFonts w:hint="eastAsia" w:ascii="宋体" w:hAnsi="宋体" w:eastAsia="宋体"/>
          <w:color w:val="auto"/>
          <w:sz w:val="21"/>
          <w:szCs w:val="21"/>
        </w:rPr>
        <w:t>26.商务、技术、价格评审（具体评审项目详见投标资料表）</w:t>
      </w:r>
      <w:bookmarkEnd w:id="108"/>
    </w:p>
    <w:p>
      <w:pPr>
        <w:pStyle w:val="24"/>
        <w:widowControl w:val="0"/>
        <w:numPr>
          <w:ilvl w:val="0"/>
          <w:numId w:val="5"/>
        </w:numPr>
        <w:tabs>
          <w:tab w:val="left" w:pos="907"/>
        </w:tabs>
        <w:adjustRightInd/>
        <w:snapToGrid/>
        <w:spacing w:after="0" w:line="360" w:lineRule="exact"/>
        <w:ind w:firstLineChars="0"/>
        <w:jc w:val="both"/>
        <w:rPr>
          <w:rFonts w:ascii="宋体" w:hAnsi="宋体" w:eastAsia="宋体"/>
          <w:vanish/>
          <w:color w:val="auto"/>
          <w:sz w:val="21"/>
          <w:szCs w:val="21"/>
        </w:rPr>
      </w:pP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ascii="宋体" w:hAnsi="宋体" w:eastAsia="宋体"/>
          <w:color w:val="auto"/>
          <w:sz w:val="21"/>
          <w:szCs w:val="21"/>
        </w:rPr>
        <w:t>对通过符合性检查的投标人进行商务技术综合评议，针对投标文件对招标文件的响应情况对各个投标人进行商务和技术评分</w:t>
      </w:r>
      <w:r>
        <w:rPr>
          <w:rFonts w:hint="eastAsia" w:ascii="宋体" w:hAnsi="宋体" w:eastAsia="宋体"/>
          <w:color w:val="auto"/>
          <w:sz w:val="21"/>
          <w:szCs w:val="21"/>
        </w:rPr>
        <w:t xml:space="preserve">。 </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投标文件报价出现前后不一致的，评标委员会按照下列规定修正：</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投标文件中开标一览表（报价表）内容与投标文件中相应内容不一致的，以开标一览表（报价表）为准；</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大写金额和小写金额不一致的，以大写金额为准；</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单价金额小数点或者百分比有明显错位的，以开标一览表的总价为准，并修改单价；</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总价金额与按单价汇总金额不一致的，以单价金额计算结果为准。</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同时出现两种以上不一致的，按照前款规定的顺序修正。修正后的报价按照经投标人确认后产生约束力，投标人不确认的，其投标无效。</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最终评标得分分值按四舍五入原则精确到小数点后两位）。</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使用综合评分法的采购项目，核心产品提供相同品牌产品且通过资格审查、符合性审查的不同投标人参加同一合同项下投标的，按一家投标人计算，评审后得分最高的同品牌投标人获得中标人推荐资格。</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after="0" w:line="360" w:lineRule="exact"/>
        <w:ind w:left="567"/>
        <w:jc w:val="both"/>
        <w:rPr>
          <w:rFonts w:ascii="宋体" w:hAnsi="宋体" w:eastAsia="宋体"/>
          <w:color w:val="auto"/>
          <w:sz w:val="21"/>
          <w:szCs w:val="21"/>
        </w:rPr>
      </w:pPr>
    </w:p>
    <w:p>
      <w:pPr>
        <w:pStyle w:val="6"/>
        <w:widowControl w:val="0"/>
        <w:overflowPunct w:val="0"/>
        <w:spacing w:before="0" w:after="0" w:line="240" w:lineRule="auto"/>
        <w:rPr>
          <w:rFonts w:ascii="宋体" w:hAnsi="宋体" w:eastAsia="宋体"/>
          <w:color w:val="auto"/>
          <w:sz w:val="21"/>
          <w:szCs w:val="21"/>
        </w:rPr>
      </w:pPr>
      <w:bookmarkStart w:id="109" w:name="_Toc22192"/>
      <w:r>
        <w:rPr>
          <w:rFonts w:hint="eastAsia" w:ascii="宋体" w:hAnsi="宋体" w:eastAsia="宋体"/>
          <w:color w:val="auto"/>
          <w:sz w:val="21"/>
          <w:szCs w:val="21"/>
        </w:rPr>
        <w:t>27.优惠政策</w:t>
      </w:r>
      <w:bookmarkEnd w:id="109"/>
    </w:p>
    <w:p>
      <w:pPr>
        <w:pStyle w:val="24"/>
        <w:widowControl w:val="0"/>
        <w:numPr>
          <w:ilvl w:val="0"/>
          <w:numId w:val="5"/>
        </w:numPr>
        <w:tabs>
          <w:tab w:val="left" w:pos="907"/>
        </w:tabs>
        <w:adjustRightInd/>
        <w:snapToGrid/>
        <w:spacing w:after="0" w:line="360" w:lineRule="exact"/>
        <w:ind w:firstLineChars="0"/>
        <w:jc w:val="both"/>
        <w:rPr>
          <w:rFonts w:ascii="宋体" w:hAnsi="宋体" w:eastAsia="宋体"/>
          <w:vanish/>
          <w:color w:val="auto"/>
          <w:sz w:val="21"/>
          <w:szCs w:val="21"/>
        </w:rPr>
      </w:pP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对小型或微型企业、监狱企业、残疾人福利性单位投标的扶持：</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根据财政部、工业和信息化部制定了《政府采购促进中小企业发展暂行办法》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投标人为小型或微型企业且投标产品含小型或微型企业产品时，其对应产品价格的扣除详见投标资料表。</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投标人同时为小型、微型企业、监狱企业、残疾人福利性单位任两种或以上情况的，评审中只享受一次价格扣除，不重复进行价格扣除。</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大中型企业和其他自然人、法人或者其他组织与小型、微型企业组成联合体共同参加非专门面向中小企业的政府采购活动。联合协议中约定，小型、微型企业的协议合同金额占到联合体协议合同总金额30%以上的，可给予联合体一定的价格扣除（详见投标资料表）。</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（1）安置的残疾人占本单位在职职工人数的比例不低于25%（含25%），并且安置的残疾人人数不少于10人（含10人）；</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（2）依法与安置的每位残疾人签订了一年以上（含一年）的劳动合同或服务协议；</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（3）为安置的每位残疾人按月足额缴纳了基本养老保险、基本医疗保险、失业保险、工伤保险和生育保险等社会保险费；</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（4）通过银行等金融机构向安置的每位残疾人，按月支付了不低于单位所在区县适用的经省级人民政府批准的月最低工资标准的工资；</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（5）提供本单位制造的货物、承担的工程或者服务（以下简称产品），或者提供其他残疾人福利性单位制造的货物（不包括使用非残疾人福利性单位注册商标的货物）。</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对节能产品或环境标志产品的扶持：</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提供节能产品或环境标志产品的投标人其产品应符合以下规定：</w:t>
      </w:r>
    </w:p>
    <w:p>
      <w:pPr>
        <w:widowControl w:val="0"/>
        <w:numPr>
          <w:ilvl w:val="0"/>
          <w:numId w:val="8"/>
        </w:numPr>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所投产品属于《节能产品政府采购品目清单》或《环境标志产品政府采购品目清单》的，投标人应如实填写《节能产品或环境标志产品列价表》并提供在有效期内的“节能产品认证证书”或“环境标志产品认证证书”。</w:t>
      </w:r>
    </w:p>
    <w:p>
      <w:pPr>
        <w:widowControl w:val="0"/>
        <w:numPr>
          <w:ilvl w:val="0"/>
          <w:numId w:val="8"/>
        </w:numPr>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pPr>
        <w:widowControl w:val="0"/>
        <w:numPr>
          <w:ilvl w:val="0"/>
          <w:numId w:val="8"/>
        </w:numPr>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若用户需求中含有《节能产品政府采购品目清单》中的政府强制采购产品，投标人应根据要求提供所对应的节能产品，否则做投标无效处理。</w:t>
      </w:r>
    </w:p>
    <w:p>
      <w:pPr>
        <w:widowControl w:val="0"/>
        <w:tabs>
          <w:tab w:val="left" w:pos="907"/>
        </w:tabs>
        <w:adjustRightInd/>
        <w:snapToGrid/>
        <w:spacing w:after="0" w:line="360" w:lineRule="exact"/>
        <w:ind w:left="567"/>
        <w:jc w:val="both"/>
        <w:rPr>
          <w:rFonts w:ascii="宋体" w:hAnsi="宋体" w:eastAsia="宋体"/>
          <w:color w:val="auto"/>
          <w:sz w:val="21"/>
          <w:szCs w:val="21"/>
        </w:rPr>
      </w:pPr>
    </w:p>
    <w:p>
      <w:pPr>
        <w:pStyle w:val="6"/>
        <w:widowControl w:val="0"/>
        <w:overflowPunct w:val="0"/>
        <w:spacing w:before="0" w:after="0" w:line="240" w:lineRule="auto"/>
        <w:rPr>
          <w:rFonts w:ascii="宋体" w:hAnsi="宋体" w:eastAsia="宋体"/>
          <w:color w:val="auto"/>
          <w:sz w:val="21"/>
          <w:szCs w:val="21"/>
        </w:rPr>
      </w:pPr>
      <w:bookmarkStart w:id="110" w:name="_Toc316375620"/>
      <w:bookmarkStart w:id="111" w:name="_Toc22591"/>
      <w:bookmarkStart w:id="112" w:name="_Toc20328"/>
      <w:bookmarkStart w:id="113" w:name="_Toc382049120"/>
      <w:r>
        <w:rPr>
          <w:rFonts w:hint="eastAsia" w:ascii="宋体" w:hAnsi="宋体" w:eastAsia="宋体"/>
          <w:color w:val="auto"/>
          <w:sz w:val="21"/>
          <w:szCs w:val="21"/>
        </w:rPr>
        <w:t>28.纪律和</w:t>
      </w:r>
      <w:r>
        <w:rPr>
          <w:rFonts w:ascii="宋体" w:hAnsi="宋体" w:eastAsia="宋体"/>
          <w:color w:val="auto"/>
          <w:sz w:val="21"/>
          <w:szCs w:val="21"/>
        </w:rPr>
        <w:t>保密</w:t>
      </w:r>
      <w:bookmarkEnd w:id="110"/>
      <w:r>
        <w:rPr>
          <w:rFonts w:hint="eastAsia" w:ascii="宋体" w:hAnsi="宋体" w:eastAsia="宋体"/>
          <w:color w:val="auto"/>
          <w:sz w:val="21"/>
          <w:szCs w:val="21"/>
        </w:rPr>
        <w:t>事项</w:t>
      </w:r>
      <w:bookmarkEnd w:id="111"/>
      <w:bookmarkEnd w:id="112"/>
      <w:bookmarkEnd w:id="113"/>
    </w:p>
    <w:p>
      <w:pPr>
        <w:pStyle w:val="24"/>
        <w:widowControl w:val="0"/>
        <w:numPr>
          <w:ilvl w:val="0"/>
          <w:numId w:val="5"/>
        </w:numPr>
        <w:tabs>
          <w:tab w:val="left" w:pos="907"/>
        </w:tabs>
        <w:adjustRightInd/>
        <w:snapToGrid/>
        <w:spacing w:after="0" w:line="360" w:lineRule="exact"/>
        <w:ind w:firstLineChars="0"/>
        <w:jc w:val="both"/>
        <w:rPr>
          <w:rFonts w:ascii="宋体" w:hAnsi="宋体" w:eastAsia="宋体"/>
          <w:vanish/>
          <w:color w:val="auto"/>
          <w:sz w:val="21"/>
          <w:szCs w:val="21"/>
        </w:rPr>
      </w:pP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投标人不得串通作弊，以不正当的手段妨碍、排挤其他投标人，扰乱招标市场，破坏公平竞争原则。否则将按相关法律规定严肃处理。</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获得本招标文件的投标人，应对文件进行保密，不得用作本次投标以外的任何用途。开标后，投标人应归还招标文件中要求保密的文件和资料。</w:t>
      </w:r>
    </w:p>
    <w:p>
      <w:pPr>
        <w:rPr>
          <w:color w:val="auto"/>
        </w:rPr>
      </w:pPr>
    </w:p>
    <w:p>
      <w:pPr>
        <w:pStyle w:val="5"/>
        <w:numPr>
          <w:ilvl w:val="0"/>
          <w:numId w:val="4"/>
        </w:numPr>
        <w:spacing w:before="0" w:after="0" w:line="480" w:lineRule="auto"/>
        <w:jc w:val="center"/>
        <w:rPr>
          <w:rFonts w:ascii="宋体" w:hAnsi="宋体" w:eastAsia="宋体"/>
          <w:color w:val="auto"/>
        </w:rPr>
      </w:pPr>
      <w:bookmarkStart w:id="114" w:name="_Toc29310"/>
      <w:r>
        <w:rPr>
          <w:rFonts w:hint="eastAsia" w:ascii="宋体" w:hAnsi="宋体" w:eastAsia="宋体"/>
          <w:color w:val="auto"/>
        </w:rPr>
        <w:t>授予合同</w:t>
      </w:r>
      <w:bookmarkEnd w:id="114"/>
    </w:p>
    <w:p>
      <w:pPr>
        <w:pStyle w:val="6"/>
        <w:widowControl w:val="0"/>
        <w:overflowPunct w:val="0"/>
        <w:spacing w:before="0" w:after="0" w:line="240" w:lineRule="auto"/>
        <w:rPr>
          <w:rFonts w:ascii="宋体" w:hAnsi="宋体" w:eastAsia="宋体"/>
          <w:color w:val="auto"/>
          <w:sz w:val="21"/>
          <w:szCs w:val="21"/>
        </w:rPr>
      </w:pPr>
      <w:bookmarkStart w:id="115" w:name="_Toc27817"/>
      <w:bookmarkStart w:id="116" w:name="_Toc508284011"/>
      <w:r>
        <w:rPr>
          <w:rFonts w:hint="eastAsia" w:ascii="宋体" w:hAnsi="宋体" w:eastAsia="宋体"/>
          <w:color w:val="auto"/>
          <w:sz w:val="21"/>
          <w:szCs w:val="21"/>
        </w:rPr>
        <w:t>29.</w:t>
      </w:r>
      <w:r>
        <w:rPr>
          <w:rFonts w:ascii="宋体" w:hAnsi="宋体" w:eastAsia="宋体"/>
          <w:color w:val="auto"/>
          <w:sz w:val="21"/>
          <w:szCs w:val="21"/>
        </w:rPr>
        <w:t>合同授予标准</w:t>
      </w:r>
      <w:bookmarkEnd w:id="115"/>
      <w:bookmarkEnd w:id="116"/>
    </w:p>
    <w:p>
      <w:pPr>
        <w:pStyle w:val="24"/>
        <w:widowControl w:val="0"/>
        <w:numPr>
          <w:ilvl w:val="0"/>
          <w:numId w:val="5"/>
        </w:numPr>
        <w:tabs>
          <w:tab w:val="left" w:pos="907"/>
        </w:tabs>
        <w:adjustRightInd/>
        <w:snapToGrid/>
        <w:spacing w:after="0" w:line="360" w:lineRule="exact"/>
        <w:ind w:firstLineChars="0"/>
        <w:jc w:val="both"/>
        <w:rPr>
          <w:rFonts w:ascii="宋体" w:hAnsi="宋体" w:eastAsia="宋体"/>
          <w:vanish/>
          <w:color w:val="auto"/>
          <w:sz w:val="21"/>
          <w:szCs w:val="21"/>
        </w:rPr>
      </w:pP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根据评标委员会的评审结果，采购人按照评审报告推荐的中标候选人中按顺序依法确定中标人</w:t>
      </w:r>
      <w:r>
        <w:rPr>
          <w:rFonts w:ascii="宋体" w:hAnsi="宋体" w:eastAsia="宋体"/>
          <w:color w:val="auto"/>
          <w:sz w:val="21"/>
          <w:szCs w:val="21"/>
        </w:rPr>
        <w:t>。</w:t>
      </w:r>
    </w:p>
    <w:p>
      <w:pPr>
        <w:rPr>
          <w:color w:val="auto"/>
        </w:rPr>
      </w:pPr>
    </w:p>
    <w:p>
      <w:pPr>
        <w:pStyle w:val="6"/>
        <w:widowControl w:val="0"/>
        <w:overflowPunct w:val="0"/>
        <w:spacing w:before="0" w:after="0" w:line="240" w:lineRule="auto"/>
        <w:rPr>
          <w:rFonts w:ascii="宋体" w:hAnsi="宋体" w:eastAsia="宋体"/>
          <w:color w:val="auto"/>
          <w:sz w:val="21"/>
          <w:szCs w:val="21"/>
        </w:rPr>
      </w:pPr>
      <w:bookmarkStart w:id="117" w:name="_Toc29283"/>
      <w:bookmarkStart w:id="118" w:name="_Toc508284013"/>
      <w:r>
        <w:rPr>
          <w:rFonts w:hint="eastAsia" w:ascii="宋体" w:hAnsi="宋体" w:eastAsia="宋体"/>
          <w:color w:val="auto"/>
          <w:sz w:val="21"/>
          <w:szCs w:val="21"/>
        </w:rPr>
        <w:t>30.发布采购结果</w:t>
      </w:r>
      <w:bookmarkEnd w:id="117"/>
      <w:bookmarkEnd w:id="118"/>
    </w:p>
    <w:p>
      <w:pPr>
        <w:pStyle w:val="24"/>
        <w:widowControl w:val="0"/>
        <w:numPr>
          <w:ilvl w:val="0"/>
          <w:numId w:val="5"/>
        </w:numPr>
        <w:tabs>
          <w:tab w:val="left" w:pos="907"/>
        </w:tabs>
        <w:adjustRightInd/>
        <w:snapToGrid/>
        <w:spacing w:after="0" w:line="360" w:lineRule="exact"/>
        <w:ind w:firstLineChars="0"/>
        <w:jc w:val="both"/>
        <w:rPr>
          <w:rFonts w:ascii="宋体" w:hAnsi="宋体" w:eastAsia="宋体"/>
          <w:vanish/>
          <w:color w:val="auto"/>
          <w:sz w:val="21"/>
          <w:szCs w:val="21"/>
        </w:rPr>
      </w:pP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评标委员会提出评标书面报告和推荐中标意见报采购人确认后，采购代理机构将在指定的信息发布媒体上发布公告。</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中标公告期限为1个工作日。</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结果公示发布后，中标单位应及时领取中标通知书。《中标通知书》是合同的一个组成部分，《中标通知书》对采购人和中标人均具有同等法律效力。</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中标人无正当理由不得放弃中标，因中标人放弃中标而对采购人造成的损失由放弃中标的中标人承担。</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中标人为残疾人福利性单位的，采购人或者其委托的采购代理机构应当随中标、成交结果同时公告其《残疾人福利性单位声明函》，接受社会监督。</w:t>
      </w:r>
    </w:p>
    <w:p>
      <w:pPr>
        <w:widowControl w:val="0"/>
        <w:numPr>
          <w:ilvl w:val="1"/>
          <w:numId w:val="5"/>
        </w:numPr>
        <w:tabs>
          <w:tab w:val="left" w:pos="907"/>
        </w:tabs>
        <w:adjustRightInd/>
        <w:snapToGrid/>
        <w:spacing w:after="0" w:line="360" w:lineRule="exact"/>
        <w:jc w:val="both"/>
        <w:rPr>
          <w:rFonts w:ascii="宋体" w:hAnsi="宋体" w:eastAsia="宋体"/>
          <w:b/>
          <w:bCs/>
          <w:color w:val="auto"/>
          <w:sz w:val="21"/>
          <w:szCs w:val="21"/>
        </w:rPr>
      </w:pPr>
      <w:r>
        <w:rPr>
          <w:rFonts w:hint="eastAsia" w:ascii="宋体" w:hAnsi="宋体" w:eastAsia="宋体"/>
          <w:b/>
          <w:bCs/>
          <w:color w:val="auto"/>
          <w:sz w:val="21"/>
          <w:szCs w:val="21"/>
        </w:rPr>
        <w:t>原件核查</w:t>
      </w:r>
    </w:p>
    <w:p>
      <w:pPr>
        <w:widowControl w:val="0"/>
        <w:numPr>
          <w:ilvl w:val="2"/>
          <w:numId w:val="5"/>
        </w:numPr>
        <w:tabs>
          <w:tab w:val="left" w:pos="567"/>
          <w:tab w:val="left" w:pos="907"/>
          <w:tab w:val="clear" w:pos="794"/>
        </w:tabs>
        <w:adjustRightInd/>
        <w:snapToGrid/>
        <w:spacing w:after="0" w:line="360" w:lineRule="exact"/>
        <w:jc w:val="both"/>
        <w:rPr>
          <w:rFonts w:ascii="宋体" w:hAnsi="宋体" w:eastAsia="宋体"/>
          <w:b/>
          <w:bCs/>
          <w:color w:val="auto"/>
          <w:sz w:val="21"/>
          <w:szCs w:val="21"/>
        </w:rPr>
      </w:pPr>
      <w:r>
        <w:rPr>
          <w:rFonts w:hint="eastAsia" w:ascii="宋体" w:hAnsi="宋体" w:eastAsia="宋体"/>
          <w:b/>
          <w:bCs/>
          <w:color w:val="auto"/>
          <w:sz w:val="21"/>
          <w:szCs w:val="21"/>
        </w:rPr>
        <w:t>采购结果发布后，中标单位应在五个工作日内递交相关资质原件到采购代理机构办公地址或采购人指定地址进行核查。</w:t>
      </w:r>
    </w:p>
    <w:p>
      <w:pPr>
        <w:widowControl w:val="0"/>
        <w:numPr>
          <w:ilvl w:val="2"/>
          <w:numId w:val="5"/>
        </w:numPr>
        <w:tabs>
          <w:tab w:val="left" w:pos="567"/>
          <w:tab w:val="left" w:pos="907"/>
          <w:tab w:val="clear" w:pos="794"/>
        </w:tabs>
        <w:adjustRightInd/>
        <w:snapToGrid/>
        <w:spacing w:after="0" w:line="360" w:lineRule="exact"/>
        <w:jc w:val="both"/>
        <w:rPr>
          <w:rFonts w:ascii="宋体" w:hAnsi="宋体" w:eastAsia="宋体"/>
          <w:b/>
          <w:bCs/>
          <w:color w:val="auto"/>
          <w:sz w:val="21"/>
          <w:szCs w:val="21"/>
        </w:rPr>
      </w:pPr>
      <w:r>
        <w:rPr>
          <w:rFonts w:hint="eastAsia" w:ascii="宋体" w:hAnsi="宋体" w:eastAsia="宋体"/>
          <w:b/>
          <w:bCs/>
          <w:color w:val="auto"/>
          <w:sz w:val="21"/>
          <w:szCs w:val="21"/>
        </w:rPr>
        <w:t>中标单位有下列情形之一的，取消中标资格：</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rPr>
      </w:pPr>
      <w:r>
        <w:rPr>
          <w:rFonts w:hint="eastAsia" w:ascii="宋体" w:hAnsi="宋体" w:eastAsia="宋体"/>
          <w:b/>
          <w:bCs/>
          <w:color w:val="auto"/>
          <w:sz w:val="21"/>
          <w:szCs w:val="21"/>
        </w:rPr>
        <w:t>拒绝采购人或采购代理机构原件核查要求的；</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rPr>
      </w:pPr>
      <w:r>
        <w:rPr>
          <w:rFonts w:hint="eastAsia" w:ascii="宋体" w:hAnsi="宋体" w:eastAsia="宋体"/>
          <w:b/>
          <w:bCs/>
          <w:color w:val="auto"/>
          <w:sz w:val="21"/>
          <w:szCs w:val="21"/>
        </w:rPr>
        <w:t>未在规定时间内将原件递交到到采购代理机构办公地址或采购人指定地址进行核查的；</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rPr>
      </w:pPr>
      <w:r>
        <w:rPr>
          <w:rFonts w:hint="eastAsia" w:ascii="宋体" w:hAnsi="宋体" w:eastAsia="宋体"/>
          <w:b/>
          <w:bCs/>
          <w:color w:val="auto"/>
          <w:sz w:val="21"/>
          <w:szCs w:val="21"/>
        </w:rPr>
        <w:t>在规定时间内递交的原件数量、内容与采购人、采购代理机构要求不一致的；</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rPr>
      </w:pPr>
      <w:r>
        <w:rPr>
          <w:rFonts w:hint="eastAsia" w:ascii="宋体" w:hAnsi="宋体" w:eastAsia="宋体"/>
          <w:b/>
          <w:bCs/>
          <w:color w:val="auto"/>
          <w:sz w:val="21"/>
          <w:szCs w:val="21"/>
        </w:rPr>
        <w:t>因原件续期、更改等原因不能按时递交原件且未能在规定时间内提供相应部门开具的变更、续期等证明的；</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rPr>
      </w:pPr>
      <w:r>
        <w:rPr>
          <w:rFonts w:hint="eastAsia" w:ascii="宋体" w:hAnsi="宋体" w:eastAsia="宋体"/>
          <w:b/>
          <w:bCs/>
          <w:color w:val="auto"/>
          <w:sz w:val="21"/>
          <w:szCs w:val="21"/>
        </w:rPr>
        <w:t>经查原件，投标文件内容有造假行为的。</w:t>
      </w:r>
    </w:p>
    <w:p>
      <w:pPr>
        <w:widowControl w:val="0"/>
        <w:numPr>
          <w:ilvl w:val="2"/>
          <w:numId w:val="5"/>
        </w:numPr>
        <w:tabs>
          <w:tab w:val="left" w:pos="567"/>
          <w:tab w:val="left" w:pos="907"/>
          <w:tab w:val="clear" w:pos="794"/>
        </w:tabs>
        <w:adjustRightInd/>
        <w:snapToGrid/>
        <w:spacing w:after="0" w:line="360" w:lineRule="exact"/>
        <w:jc w:val="both"/>
        <w:rPr>
          <w:rFonts w:ascii="宋体" w:hAnsi="宋体" w:eastAsia="宋体"/>
          <w:b/>
          <w:bCs/>
          <w:color w:val="auto"/>
          <w:sz w:val="21"/>
          <w:szCs w:val="21"/>
        </w:rPr>
      </w:pPr>
      <w:r>
        <w:rPr>
          <w:rFonts w:hint="eastAsia" w:ascii="宋体" w:hAnsi="宋体" w:eastAsia="宋体"/>
          <w:b/>
          <w:bCs/>
          <w:color w:val="auto"/>
          <w:sz w:val="21"/>
          <w:szCs w:val="21"/>
        </w:rPr>
        <w:t>采购结果发布后，采购代理机构及采购人有权根据评标委员会的建议或要求，对递交了投标文件的未中标投标人进行原件核查。投标人应在采购代理机构或采购人发出纸质通知五个工作日内将原件递交到采购代理机构办公地址或采购人指定地址进行核查。</w:t>
      </w:r>
    </w:p>
    <w:p>
      <w:pPr>
        <w:widowControl w:val="0"/>
        <w:numPr>
          <w:ilvl w:val="2"/>
          <w:numId w:val="5"/>
        </w:numPr>
        <w:tabs>
          <w:tab w:val="left" w:pos="567"/>
          <w:tab w:val="left" w:pos="907"/>
          <w:tab w:val="clear" w:pos="794"/>
        </w:tabs>
        <w:adjustRightInd/>
        <w:snapToGrid/>
        <w:spacing w:after="0" w:line="360" w:lineRule="exact"/>
        <w:jc w:val="both"/>
        <w:rPr>
          <w:rFonts w:ascii="宋体" w:hAnsi="宋体" w:eastAsia="宋体"/>
          <w:b/>
          <w:bCs/>
          <w:color w:val="auto"/>
          <w:sz w:val="21"/>
          <w:szCs w:val="21"/>
        </w:rPr>
      </w:pPr>
      <w:r>
        <w:rPr>
          <w:rFonts w:hint="eastAsia" w:ascii="宋体" w:hAnsi="宋体" w:eastAsia="宋体"/>
          <w:b/>
          <w:bCs/>
          <w:color w:val="auto"/>
          <w:sz w:val="21"/>
          <w:szCs w:val="21"/>
        </w:rPr>
        <w:t>投标人有下列情形之一的，投标文件作无效处理，其投标无效：</w:t>
      </w:r>
    </w:p>
    <w:p>
      <w:pPr>
        <w:widowControl w:val="0"/>
        <w:numPr>
          <w:ilvl w:val="0"/>
          <w:numId w:val="10"/>
        </w:numPr>
        <w:tabs>
          <w:tab w:val="left" w:pos="567"/>
          <w:tab w:val="left" w:pos="907"/>
        </w:tabs>
        <w:adjustRightInd/>
        <w:snapToGrid/>
        <w:spacing w:after="0" w:line="360" w:lineRule="exact"/>
        <w:jc w:val="both"/>
        <w:rPr>
          <w:rFonts w:ascii="宋体" w:hAnsi="宋体" w:eastAsia="宋体"/>
          <w:b/>
          <w:bCs/>
          <w:color w:val="auto"/>
          <w:sz w:val="21"/>
          <w:szCs w:val="21"/>
        </w:rPr>
      </w:pPr>
      <w:r>
        <w:rPr>
          <w:rFonts w:hint="eastAsia" w:ascii="宋体" w:hAnsi="宋体" w:eastAsia="宋体"/>
          <w:b/>
          <w:bCs/>
          <w:color w:val="auto"/>
          <w:sz w:val="21"/>
          <w:szCs w:val="21"/>
        </w:rPr>
        <w:t>拒绝采购人或采购代理机构原件核查要求的；</w:t>
      </w:r>
    </w:p>
    <w:p>
      <w:pPr>
        <w:widowControl w:val="0"/>
        <w:numPr>
          <w:ilvl w:val="0"/>
          <w:numId w:val="10"/>
        </w:numPr>
        <w:tabs>
          <w:tab w:val="left" w:pos="567"/>
          <w:tab w:val="left" w:pos="907"/>
        </w:tabs>
        <w:adjustRightInd/>
        <w:snapToGrid/>
        <w:spacing w:after="0" w:line="360" w:lineRule="exact"/>
        <w:jc w:val="both"/>
        <w:rPr>
          <w:rFonts w:ascii="宋体" w:hAnsi="宋体" w:eastAsia="宋体"/>
          <w:b/>
          <w:bCs/>
          <w:color w:val="auto"/>
          <w:sz w:val="21"/>
          <w:szCs w:val="21"/>
        </w:rPr>
      </w:pPr>
      <w:r>
        <w:rPr>
          <w:rFonts w:hint="eastAsia" w:ascii="宋体" w:hAnsi="宋体" w:eastAsia="宋体"/>
          <w:b/>
          <w:bCs/>
          <w:color w:val="auto"/>
          <w:sz w:val="21"/>
          <w:szCs w:val="21"/>
        </w:rPr>
        <w:t>未在规定时间内将原件递交到到采购代理机构办公地址或采购人指定地址进行核查的；</w:t>
      </w:r>
    </w:p>
    <w:p>
      <w:pPr>
        <w:widowControl w:val="0"/>
        <w:numPr>
          <w:ilvl w:val="0"/>
          <w:numId w:val="10"/>
        </w:numPr>
        <w:tabs>
          <w:tab w:val="left" w:pos="567"/>
          <w:tab w:val="left" w:pos="907"/>
        </w:tabs>
        <w:adjustRightInd/>
        <w:snapToGrid/>
        <w:spacing w:after="0" w:line="360" w:lineRule="exact"/>
        <w:jc w:val="both"/>
        <w:rPr>
          <w:rFonts w:ascii="宋体" w:hAnsi="宋体" w:eastAsia="宋体"/>
          <w:b/>
          <w:bCs/>
          <w:color w:val="auto"/>
          <w:sz w:val="21"/>
          <w:szCs w:val="21"/>
        </w:rPr>
      </w:pPr>
      <w:r>
        <w:rPr>
          <w:rFonts w:hint="eastAsia" w:ascii="宋体" w:hAnsi="宋体" w:eastAsia="宋体"/>
          <w:b/>
          <w:bCs/>
          <w:color w:val="auto"/>
          <w:sz w:val="21"/>
          <w:szCs w:val="21"/>
        </w:rPr>
        <w:t>在规定时间内递交的原件数量、内容不符合采购人、采购代理机构要求的；</w:t>
      </w:r>
    </w:p>
    <w:p>
      <w:pPr>
        <w:widowControl w:val="0"/>
        <w:numPr>
          <w:ilvl w:val="0"/>
          <w:numId w:val="10"/>
        </w:numPr>
        <w:tabs>
          <w:tab w:val="left" w:pos="567"/>
          <w:tab w:val="left" w:pos="907"/>
        </w:tabs>
        <w:adjustRightInd/>
        <w:snapToGrid/>
        <w:spacing w:after="0" w:line="360" w:lineRule="exact"/>
        <w:jc w:val="both"/>
        <w:rPr>
          <w:rFonts w:ascii="宋体" w:hAnsi="宋体" w:eastAsia="宋体"/>
          <w:b/>
          <w:bCs/>
          <w:color w:val="auto"/>
          <w:sz w:val="21"/>
          <w:szCs w:val="21"/>
        </w:rPr>
      </w:pPr>
      <w:r>
        <w:rPr>
          <w:rFonts w:hint="eastAsia" w:ascii="宋体" w:hAnsi="宋体" w:eastAsia="宋体"/>
          <w:b/>
          <w:bCs/>
          <w:color w:val="auto"/>
          <w:sz w:val="21"/>
          <w:szCs w:val="21"/>
        </w:rPr>
        <w:t>因原件续期、更改等原因不能按时递交原件且未能在规定时间内提供相应部门开具的变更、续期等证明的；</w:t>
      </w:r>
    </w:p>
    <w:p>
      <w:pPr>
        <w:widowControl w:val="0"/>
        <w:numPr>
          <w:ilvl w:val="0"/>
          <w:numId w:val="10"/>
        </w:numPr>
        <w:tabs>
          <w:tab w:val="left" w:pos="567"/>
          <w:tab w:val="left" w:pos="907"/>
        </w:tabs>
        <w:adjustRightInd/>
        <w:snapToGrid/>
        <w:spacing w:after="0" w:line="360" w:lineRule="exact"/>
        <w:jc w:val="both"/>
        <w:rPr>
          <w:rFonts w:ascii="宋体" w:hAnsi="宋体" w:eastAsia="宋体"/>
          <w:b/>
          <w:bCs/>
          <w:color w:val="auto"/>
          <w:sz w:val="21"/>
          <w:szCs w:val="21"/>
        </w:rPr>
      </w:pPr>
      <w:r>
        <w:rPr>
          <w:rFonts w:hint="eastAsia" w:ascii="宋体" w:hAnsi="宋体" w:eastAsia="宋体"/>
          <w:b/>
          <w:bCs/>
          <w:color w:val="auto"/>
          <w:sz w:val="21"/>
          <w:szCs w:val="21"/>
        </w:rPr>
        <w:t>经查原件，投标文件内容有造假行为的。</w:t>
      </w:r>
    </w:p>
    <w:p>
      <w:pPr>
        <w:widowControl w:val="0"/>
        <w:numPr>
          <w:ilvl w:val="2"/>
          <w:numId w:val="5"/>
        </w:numPr>
        <w:tabs>
          <w:tab w:val="left" w:pos="567"/>
          <w:tab w:val="left" w:pos="907"/>
          <w:tab w:val="clear" w:pos="794"/>
        </w:tabs>
        <w:adjustRightInd/>
        <w:snapToGrid/>
        <w:spacing w:after="0" w:line="360" w:lineRule="exact"/>
        <w:jc w:val="both"/>
        <w:rPr>
          <w:rFonts w:ascii="宋体" w:hAnsi="宋体" w:eastAsia="宋体"/>
          <w:b/>
          <w:bCs/>
          <w:color w:val="auto"/>
          <w:sz w:val="21"/>
          <w:szCs w:val="21"/>
        </w:rPr>
      </w:pPr>
      <w:r>
        <w:rPr>
          <w:rFonts w:hint="eastAsia" w:ascii="宋体" w:hAnsi="宋体" w:eastAsia="宋体"/>
          <w:b/>
          <w:bCs/>
          <w:color w:val="auto"/>
          <w:sz w:val="21"/>
          <w:szCs w:val="21"/>
        </w:rPr>
        <w:t>若投标人出现虚假应标情况，投标文件作无效处理，其投标、中标无效。并根据相关法律上报相关监管部门。</w:t>
      </w:r>
    </w:p>
    <w:p>
      <w:pPr>
        <w:widowControl w:val="0"/>
        <w:numPr>
          <w:ilvl w:val="2"/>
          <w:numId w:val="5"/>
        </w:numPr>
        <w:tabs>
          <w:tab w:val="left" w:pos="567"/>
          <w:tab w:val="left" w:pos="907"/>
          <w:tab w:val="clear" w:pos="794"/>
        </w:tabs>
        <w:adjustRightInd/>
        <w:snapToGrid/>
        <w:spacing w:after="0" w:line="360" w:lineRule="exact"/>
        <w:jc w:val="both"/>
        <w:rPr>
          <w:color w:val="auto"/>
        </w:rPr>
      </w:pPr>
      <w:r>
        <w:rPr>
          <w:rFonts w:hint="eastAsia" w:ascii="宋体" w:hAnsi="宋体" w:eastAsia="宋体"/>
          <w:color w:val="auto"/>
          <w:sz w:val="21"/>
          <w:szCs w:val="21"/>
        </w:rPr>
        <w:t>属于建办市函[2016]462号通知内的证件可不提供原件，仅提供带二维码原件的复印件即可。</w:t>
      </w:r>
    </w:p>
    <w:p>
      <w:pPr>
        <w:rPr>
          <w:color w:val="auto"/>
        </w:rPr>
      </w:pPr>
    </w:p>
    <w:p>
      <w:pPr>
        <w:pStyle w:val="6"/>
        <w:widowControl w:val="0"/>
        <w:overflowPunct w:val="0"/>
        <w:spacing w:before="0" w:after="0" w:line="240" w:lineRule="auto"/>
        <w:rPr>
          <w:rFonts w:ascii="宋体" w:hAnsi="宋体" w:eastAsia="宋体"/>
          <w:color w:val="auto"/>
          <w:sz w:val="21"/>
          <w:szCs w:val="21"/>
        </w:rPr>
      </w:pPr>
      <w:bookmarkStart w:id="119" w:name="_Toc22451"/>
      <w:r>
        <w:rPr>
          <w:rFonts w:hint="eastAsia" w:ascii="宋体" w:hAnsi="宋体" w:eastAsia="宋体"/>
          <w:color w:val="auto"/>
          <w:sz w:val="21"/>
          <w:szCs w:val="21"/>
        </w:rPr>
        <w:t>31.合同的签订与履行</w:t>
      </w:r>
      <w:bookmarkEnd w:id="119"/>
    </w:p>
    <w:p>
      <w:pPr>
        <w:pStyle w:val="24"/>
        <w:widowControl w:val="0"/>
        <w:numPr>
          <w:ilvl w:val="0"/>
          <w:numId w:val="5"/>
        </w:numPr>
        <w:tabs>
          <w:tab w:val="left" w:pos="907"/>
        </w:tabs>
        <w:adjustRightInd/>
        <w:snapToGrid/>
        <w:spacing w:after="0" w:line="360" w:lineRule="exact"/>
        <w:ind w:firstLineChars="0"/>
        <w:jc w:val="both"/>
        <w:rPr>
          <w:rFonts w:ascii="宋体" w:hAnsi="宋体" w:eastAsia="宋体"/>
          <w:vanish/>
          <w:color w:val="auto"/>
          <w:sz w:val="21"/>
          <w:szCs w:val="21"/>
        </w:rPr>
      </w:pP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采购人应当自采购结果公示发出之日起30日内，按照招标文件和中标人投标文件的规定，与中标人签订书面合同。所签订的合同不得对招标文件确定的事项和中标人投标文件作实质性修改。</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采购人与中标人应当根据合同的约定依法履行合同义务。</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政府采购合同的履行、违约责任和解决争议的方法等适用《中华人民共和国合同法》。</w:t>
      </w:r>
    </w:p>
    <w:p>
      <w:pPr>
        <w:widowControl w:val="0"/>
        <w:numPr>
          <w:ilvl w:val="1"/>
          <w:numId w:val="5"/>
        </w:numPr>
        <w:tabs>
          <w:tab w:val="left" w:pos="907"/>
        </w:tabs>
        <w:adjustRightInd/>
        <w:snapToGrid/>
        <w:spacing w:after="0" w:line="360" w:lineRule="exact"/>
        <w:jc w:val="both"/>
        <w:rPr>
          <w:rFonts w:ascii="宋体" w:hAnsi="宋体" w:eastAsia="宋体"/>
          <w:b/>
          <w:color w:val="auto"/>
          <w:sz w:val="21"/>
          <w:szCs w:val="21"/>
        </w:rPr>
      </w:pPr>
      <w:r>
        <w:rPr>
          <w:rFonts w:hint="eastAsia" w:ascii="宋体" w:hAnsi="宋体" w:eastAsia="宋体"/>
          <w:b/>
          <w:color w:val="auto"/>
          <w:sz w:val="21"/>
          <w:szCs w:val="21"/>
        </w:rPr>
        <w:t>合同签订之日起2个工作日内，中标人应将所签订的合同副本（加盖公章）交至广东三方诚信招标有限公司东莞分公司归档。</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中标人拒绝与采购人签订合同的，采购人可以按照评审报告推荐的中标候选人名单排序，确定下一候选人为中标人，也可以重新开展政府采购活动。</w:t>
      </w:r>
    </w:p>
    <w:p>
      <w:pPr>
        <w:rPr>
          <w:color w:val="auto"/>
        </w:rPr>
      </w:pPr>
    </w:p>
    <w:p>
      <w:pPr>
        <w:pStyle w:val="6"/>
        <w:widowControl w:val="0"/>
        <w:overflowPunct w:val="0"/>
        <w:spacing w:before="0" w:after="0" w:line="240" w:lineRule="auto"/>
        <w:rPr>
          <w:rFonts w:ascii="宋体" w:hAnsi="宋体" w:eastAsia="宋体"/>
          <w:color w:val="auto"/>
          <w:sz w:val="21"/>
          <w:szCs w:val="21"/>
        </w:rPr>
      </w:pPr>
      <w:bookmarkStart w:id="120" w:name="_Toc303084277"/>
      <w:bookmarkStart w:id="121" w:name="_Toc2744"/>
      <w:bookmarkStart w:id="122" w:name="_Toc29009"/>
      <w:bookmarkStart w:id="123" w:name="_Toc382049124"/>
      <w:r>
        <w:rPr>
          <w:rFonts w:hint="eastAsia" w:ascii="宋体" w:hAnsi="宋体" w:eastAsia="宋体"/>
          <w:color w:val="auto"/>
          <w:sz w:val="21"/>
          <w:szCs w:val="21"/>
        </w:rPr>
        <w:t>32.</w:t>
      </w:r>
      <w:r>
        <w:rPr>
          <w:rFonts w:ascii="宋体" w:hAnsi="宋体" w:eastAsia="宋体"/>
          <w:color w:val="auto"/>
          <w:sz w:val="21"/>
          <w:szCs w:val="21"/>
        </w:rPr>
        <w:t>履约</w:t>
      </w:r>
      <w:r>
        <w:rPr>
          <w:rFonts w:hint="eastAsia" w:ascii="宋体" w:hAnsi="宋体" w:eastAsia="宋体"/>
          <w:color w:val="auto"/>
          <w:sz w:val="21"/>
          <w:szCs w:val="21"/>
        </w:rPr>
        <w:t>保证金</w:t>
      </w:r>
      <w:bookmarkEnd w:id="120"/>
      <w:bookmarkEnd w:id="121"/>
      <w:bookmarkEnd w:id="122"/>
      <w:bookmarkEnd w:id="123"/>
    </w:p>
    <w:p>
      <w:pPr>
        <w:pStyle w:val="24"/>
        <w:widowControl w:val="0"/>
        <w:numPr>
          <w:ilvl w:val="0"/>
          <w:numId w:val="5"/>
        </w:numPr>
        <w:tabs>
          <w:tab w:val="left" w:pos="907"/>
        </w:tabs>
        <w:adjustRightInd/>
        <w:snapToGrid/>
        <w:spacing w:after="0" w:line="360" w:lineRule="exact"/>
        <w:ind w:firstLineChars="0"/>
        <w:jc w:val="both"/>
        <w:rPr>
          <w:rFonts w:ascii="宋体" w:hAnsi="宋体" w:eastAsia="宋体"/>
          <w:vanish/>
          <w:color w:val="auto"/>
          <w:sz w:val="21"/>
          <w:szCs w:val="21"/>
        </w:rPr>
      </w:pP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采用保证金（银行转帐、电汇）方式：中标人必须保证资金在签订合同前到帐。履约保证金账户采购人另行通知，到期后无息退还。</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用履约保函方式：履约担保。是指由担保机构为供应商交纳履约保证金向采购人或采购代理机构提供的保证担保。供应商未按政府采购合同履行约定义务的，由担保机构按照担保函约定履行支付履约保证金的责任。（投标担保格式详见附件《政府采购投标担保函》）</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中标人须将履约保证金的汇款凭证 (注明中标通知书或项目编号)或履约保函（采购人注明原件已收到并盖章）用A4纸复印一式四份并加盖中标人的公章送至采购代理机构。</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履约保证金退回：履约保证金在项目验收合格后，中标人向采购人提交退回履约保证金的申请（格式可在东莞市政府采购网下载）、履约保证金汇款凭证复印件、采购合同、采购项目验收报告原件、中标通知书复印件，前往采购人办理履约保证金 退还手续。</w:t>
      </w:r>
    </w:p>
    <w:p>
      <w:pPr>
        <w:rPr>
          <w:color w:val="auto"/>
        </w:rPr>
      </w:pPr>
    </w:p>
    <w:p>
      <w:pPr>
        <w:pStyle w:val="5"/>
        <w:numPr>
          <w:ilvl w:val="0"/>
          <w:numId w:val="4"/>
        </w:numPr>
        <w:spacing w:before="0" w:after="0" w:line="480" w:lineRule="auto"/>
        <w:jc w:val="center"/>
        <w:rPr>
          <w:rFonts w:ascii="宋体" w:hAnsi="宋体" w:eastAsia="宋体"/>
          <w:color w:val="auto"/>
        </w:rPr>
      </w:pPr>
      <w:bookmarkStart w:id="124" w:name="_Toc13694"/>
      <w:r>
        <w:rPr>
          <w:rFonts w:hint="eastAsia" w:ascii="宋体" w:hAnsi="宋体" w:eastAsia="宋体"/>
          <w:color w:val="auto"/>
        </w:rPr>
        <w:t>询问或质疑</w:t>
      </w:r>
      <w:bookmarkEnd w:id="124"/>
    </w:p>
    <w:p>
      <w:pPr>
        <w:pStyle w:val="6"/>
        <w:widowControl w:val="0"/>
        <w:overflowPunct w:val="0"/>
        <w:spacing w:before="0" w:after="0" w:line="240" w:lineRule="auto"/>
        <w:rPr>
          <w:rFonts w:ascii="宋体" w:hAnsi="宋体" w:eastAsia="宋体"/>
          <w:color w:val="auto"/>
          <w:sz w:val="21"/>
          <w:szCs w:val="21"/>
        </w:rPr>
      </w:pPr>
      <w:bookmarkStart w:id="125" w:name="_Toc25498"/>
      <w:r>
        <w:rPr>
          <w:rFonts w:hint="eastAsia" w:ascii="宋体" w:hAnsi="宋体" w:eastAsia="宋体"/>
          <w:color w:val="auto"/>
          <w:sz w:val="21"/>
          <w:szCs w:val="21"/>
        </w:rPr>
        <w:t>33.询问</w:t>
      </w:r>
      <w:bookmarkEnd w:id="125"/>
    </w:p>
    <w:p>
      <w:pPr>
        <w:pStyle w:val="24"/>
        <w:widowControl w:val="0"/>
        <w:numPr>
          <w:ilvl w:val="0"/>
          <w:numId w:val="5"/>
        </w:numPr>
        <w:tabs>
          <w:tab w:val="left" w:pos="907"/>
        </w:tabs>
        <w:adjustRightInd/>
        <w:snapToGrid/>
        <w:spacing w:after="0" w:line="360" w:lineRule="exact"/>
        <w:ind w:firstLineChars="0"/>
        <w:jc w:val="both"/>
        <w:rPr>
          <w:rFonts w:ascii="宋体" w:hAnsi="宋体" w:eastAsia="宋体"/>
          <w:vanish/>
          <w:color w:val="auto"/>
          <w:sz w:val="21"/>
          <w:szCs w:val="21"/>
        </w:rPr>
      </w:pP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投标人对政府采购活动事项（招标文件、采购过程和采购结果）有疑问的，可以按规定向采购代理机构提出询问。</w:t>
      </w:r>
    </w:p>
    <w:p>
      <w:pPr>
        <w:widowControl w:val="0"/>
        <w:tabs>
          <w:tab w:val="left" w:pos="907"/>
        </w:tabs>
        <w:adjustRightInd/>
        <w:snapToGrid/>
        <w:spacing w:after="0" w:line="360" w:lineRule="exact"/>
        <w:ind w:left="567"/>
        <w:jc w:val="both"/>
        <w:rPr>
          <w:rFonts w:ascii="宋体" w:hAnsi="宋体" w:eastAsia="宋体"/>
          <w:color w:val="auto"/>
          <w:sz w:val="21"/>
          <w:szCs w:val="21"/>
        </w:rPr>
      </w:pPr>
    </w:p>
    <w:p>
      <w:pPr>
        <w:pStyle w:val="6"/>
        <w:widowControl w:val="0"/>
        <w:overflowPunct w:val="0"/>
        <w:spacing w:before="0" w:after="0" w:line="240" w:lineRule="auto"/>
        <w:rPr>
          <w:rFonts w:ascii="宋体" w:hAnsi="宋体" w:eastAsia="宋体"/>
          <w:color w:val="auto"/>
          <w:sz w:val="21"/>
          <w:szCs w:val="21"/>
        </w:rPr>
      </w:pPr>
      <w:bookmarkStart w:id="126" w:name="_Toc8234"/>
      <w:r>
        <w:rPr>
          <w:rFonts w:hint="eastAsia" w:ascii="宋体" w:hAnsi="宋体" w:eastAsia="宋体"/>
          <w:color w:val="auto"/>
          <w:sz w:val="21"/>
          <w:szCs w:val="21"/>
        </w:rPr>
        <w:t>34.质疑</w:t>
      </w:r>
      <w:bookmarkEnd w:id="126"/>
    </w:p>
    <w:p>
      <w:pPr>
        <w:pStyle w:val="24"/>
        <w:widowControl w:val="0"/>
        <w:numPr>
          <w:ilvl w:val="0"/>
          <w:numId w:val="5"/>
        </w:numPr>
        <w:tabs>
          <w:tab w:val="left" w:pos="907"/>
        </w:tabs>
        <w:adjustRightInd/>
        <w:snapToGrid/>
        <w:spacing w:after="0" w:line="360" w:lineRule="exact"/>
        <w:ind w:firstLineChars="0"/>
        <w:jc w:val="both"/>
        <w:rPr>
          <w:rFonts w:ascii="宋体" w:hAnsi="宋体" w:eastAsia="宋体"/>
          <w:vanish/>
          <w:color w:val="auto"/>
          <w:sz w:val="21"/>
          <w:szCs w:val="21"/>
        </w:rPr>
      </w:pP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提出质疑的投标人应当是参与所质疑项目采购活动的供应商或是在规定的时间内已依法获取其可质疑的招标文件的潜在供应商。</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供应商认为招标文件、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投标人在法定质疑期内须一次性提出针对同一采购程序环节的质疑，对同一采购程序环节的二次质疑采购代理机构不予受理。</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投标邀请书）。投标人以电话、传真或电邮形式提交的质疑属于无效质疑。</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授权委托书应当载明代理人的姓名或者名称、代理事项、具体权限、期限和相关事项。</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投标人提出质疑应当提交质疑函和必要的证明材料（须注明法律依据），因缺少相关证明材料或证明材料存在不真实而导致的后果由投标人自行承担。</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不涉及对投标人利益造成损害的相关内容，不能作为质疑内容提交。</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投诉人在全国范围12个月内三次以上投诉查无实据的，由财政部门列入不良行为记录名单。</w:t>
      </w:r>
    </w:p>
    <w:p>
      <w:pPr>
        <w:widowControl w:val="0"/>
        <w:numPr>
          <w:ilvl w:val="1"/>
          <w:numId w:val="5"/>
        </w:numPr>
        <w:tabs>
          <w:tab w:val="left" w:pos="907"/>
        </w:tabs>
        <w:adjustRightInd/>
        <w:snapToGrid/>
        <w:spacing w:after="0" w:line="360" w:lineRule="exact"/>
        <w:jc w:val="both"/>
        <w:rPr>
          <w:rFonts w:ascii="宋体" w:hAnsi="宋体" w:eastAsia="宋体"/>
          <w:b/>
          <w:bCs/>
          <w:color w:val="auto"/>
          <w:sz w:val="21"/>
          <w:szCs w:val="21"/>
        </w:rPr>
      </w:pPr>
      <w:r>
        <w:rPr>
          <w:rFonts w:hint="eastAsia" w:ascii="宋体" w:hAnsi="宋体" w:eastAsia="宋体"/>
          <w:b/>
          <w:bCs/>
          <w:color w:val="auto"/>
          <w:sz w:val="21"/>
          <w:szCs w:val="21"/>
        </w:rPr>
        <w:t>投诉人有下列行为之一的，属于虚假、恶意投诉，由财政部门列入不良行为记录名单，禁止其1至3年内参加全国范围内的政府采购活动：</w:t>
      </w:r>
    </w:p>
    <w:p>
      <w:pPr>
        <w:widowControl w:val="0"/>
        <w:tabs>
          <w:tab w:val="left" w:pos="907"/>
        </w:tabs>
        <w:adjustRightInd/>
        <w:snapToGrid/>
        <w:spacing w:after="0" w:line="360" w:lineRule="exact"/>
        <w:ind w:left="567"/>
        <w:jc w:val="both"/>
        <w:rPr>
          <w:rFonts w:ascii="宋体" w:hAnsi="宋体" w:eastAsia="宋体"/>
          <w:b/>
          <w:bCs/>
          <w:color w:val="auto"/>
          <w:sz w:val="21"/>
          <w:szCs w:val="21"/>
        </w:rPr>
      </w:pPr>
      <w:r>
        <w:rPr>
          <w:rFonts w:hint="eastAsia" w:ascii="宋体" w:hAnsi="宋体" w:eastAsia="宋体"/>
          <w:b/>
          <w:bCs/>
          <w:color w:val="auto"/>
          <w:sz w:val="21"/>
          <w:szCs w:val="21"/>
        </w:rPr>
        <w:t>（一）捏造事实;</w:t>
      </w:r>
    </w:p>
    <w:p>
      <w:pPr>
        <w:widowControl w:val="0"/>
        <w:tabs>
          <w:tab w:val="left" w:pos="907"/>
        </w:tabs>
        <w:adjustRightInd/>
        <w:snapToGrid/>
        <w:spacing w:after="0" w:line="360" w:lineRule="exact"/>
        <w:ind w:left="567"/>
        <w:jc w:val="both"/>
        <w:rPr>
          <w:rFonts w:ascii="宋体" w:hAnsi="宋体" w:eastAsia="宋体"/>
          <w:b/>
          <w:bCs/>
          <w:color w:val="auto"/>
          <w:sz w:val="21"/>
          <w:szCs w:val="21"/>
        </w:rPr>
      </w:pPr>
      <w:r>
        <w:rPr>
          <w:rFonts w:hint="eastAsia" w:ascii="宋体" w:hAnsi="宋体" w:eastAsia="宋体"/>
          <w:b/>
          <w:bCs/>
          <w:color w:val="auto"/>
          <w:sz w:val="21"/>
          <w:szCs w:val="21"/>
        </w:rPr>
        <w:t>（二）提供虚假材料;</w:t>
      </w:r>
    </w:p>
    <w:p>
      <w:pPr>
        <w:widowControl w:val="0"/>
        <w:tabs>
          <w:tab w:val="left" w:pos="907"/>
        </w:tabs>
        <w:adjustRightInd/>
        <w:snapToGrid/>
        <w:spacing w:after="0" w:line="360" w:lineRule="exact"/>
        <w:ind w:left="567"/>
        <w:jc w:val="both"/>
        <w:rPr>
          <w:rFonts w:ascii="宋体" w:hAnsi="宋体" w:eastAsia="宋体"/>
          <w:b/>
          <w:bCs/>
          <w:color w:val="auto"/>
          <w:sz w:val="21"/>
          <w:szCs w:val="21"/>
        </w:rPr>
      </w:pPr>
      <w:r>
        <w:rPr>
          <w:rFonts w:hint="eastAsia" w:ascii="宋体" w:hAnsi="宋体" w:eastAsia="宋体"/>
          <w:b/>
          <w:bCs/>
          <w:color w:val="auto"/>
          <w:sz w:val="21"/>
          <w:szCs w:val="21"/>
        </w:rPr>
        <w:t>（三）以非法手段取得证明材料。证据来源的合法性存在明显疑问，投诉人无法证明其取得方式合法的，视为以非法手段取得证明材料。</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以联合体形式参加政府采购活动的，其质疑应当由组成联合体的所有投标人共同提出。</w:t>
      </w:r>
    </w:p>
    <w:p>
      <w:pPr>
        <w:rPr>
          <w:color w:val="auto"/>
        </w:rPr>
      </w:pPr>
    </w:p>
    <w:p>
      <w:pPr>
        <w:pStyle w:val="5"/>
        <w:numPr>
          <w:ilvl w:val="0"/>
          <w:numId w:val="4"/>
        </w:numPr>
        <w:spacing w:before="0" w:after="0" w:line="480" w:lineRule="auto"/>
        <w:jc w:val="center"/>
        <w:rPr>
          <w:rFonts w:ascii="宋体" w:hAnsi="宋体" w:eastAsia="宋体"/>
          <w:color w:val="auto"/>
        </w:rPr>
      </w:pPr>
      <w:bookmarkStart w:id="127" w:name="_Toc24383"/>
      <w:r>
        <w:rPr>
          <w:rFonts w:hint="eastAsia" w:ascii="宋体" w:hAnsi="宋体" w:eastAsia="宋体"/>
          <w:color w:val="auto"/>
        </w:rPr>
        <w:t>其他</w:t>
      </w:r>
      <w:bookmarkEnd w:id="127"/>
    </w:p>
    <w:p>
      <w:pPr>
        <w:pStyle w:val="6"/>
        <w:widowControl w:val="0"/>
        <w:overflowPunct w:val="0"/>
        <w:spacing w:before="0" w:after="0" w:line="240" w:lineRule="auto"/>
        <w:rPr>
          <w:rFonts w:ascii="宋体" w:hAnsi="宋体" w:eastAsia="宋体"/>
          <w:color w:val="auto"/>
          <w:sz w:val="21"/>
          <w:szCs w:val="21"/>
        </w:rPr>
      </w:pPr>
      <w:bookmarkStart w:id="128" w:name="_Toc10082"/>
      <w:r>
        <w:rPr>
          <w:rFonts w:hint="eastAsia" w:ascii="宋体" w:hAnsi="宋体" w:eastAsia="宋体"/>
          <w:color w:val="auto"/>
          <w:sz w:val="21"/>
          <w:szCs w:val="21"/>
        </w:rPr>
        <w:t>35.招标文件的解释权</w:t>
      </w:r>
      <w:bookmarkEnd w:id="128"/>
    </w:p>
    <w:p>
      <w:pPr>
        <w:pStyle w:val="24"/>
        <w:widowControl w:val="0"/>
        <w:numPr>
          <w:ilvl w:val="0"/>
          <w:numId w:val="5"/>
        </w:numPr>
        <w:tabs>
          <w:tab w:val="left" w:pos="907"/>
        </w:tabs>
        <w:adjustRightInd/>
        <w:snapToGrid/>
        <w:spacing w:after="0" w:line="360" w:lineRule="exact"/>
        <w:ind w:firstLineChars="0"/>
        <w:jc w:val="both"/>
        <w:rPr>
          <w:rFonts w:ascii="宋体" w:hAnsi="宋体" w:eastAsia="宋体"/>
          <w:vanish/>
          <w:color w:val="auto"/>
          <w:sz w:val="21"/>
          <w:szCs w:val="21"/>
        </w:rPr>
      </w:pP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招标文件版本号：三方诚信20191125。</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本招标文件是根据国家有关法律、法规以及政府采购管理有关规定和参照国际惯例编制，解释权属本采购代理机构。</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br w:type="page"/>
      </w:r>
    </w:p>
    <w:p>
      <w:pPr>
        <w:pStyle w:val="4"/>
        <w:spacing w:before="0" w:after="0" w:line="240" w:lineRule="auto"/>
        <w:rPr>
          <w:color w:val="auto"/>
          <w:sz w:val="28"/>
          <w:szCs w:val="28"/>
        </w:rPr>
      </w:pPr>
      <w:bookmarkStart w:id="129" w:name="_Toc21448"/>
      <w:r>
        <w:rPr>
          <w:rFonts w:hint="eastAsia"/>
          <w:color w:val="auto"/>
          <w:sz w:val="28"/>
          <w:szCs w:val="28"/>
        </w:rPr>
        <w:t>第五部分 合同格式（仅供参考）</w:t>
      </w:r>
      <w:bookmarkEnd w:id="129"/>
      <w:bookmarkStart w:id="130" w:name="_Toc21155"/>
      <w:bookmarkStart w:id="131" w:name="_Toc1534"/>
      <w:bookmarkStart w:id="132" w:name="_Toc13430"/>
    </w:p>
    <w:p>
      <w:pPr>
        <w:pStyle w:val="5"/>
        <w:spacing w:before="0" w:after="0" w:line="240" w:lineRule="auto"/>
        <w:jc w:val="center"/>
        <w:rPr>
          <w:rFonts w:ascii="宋体" w:hAnsi="宋体" w:eastAsia="宋体" w:cs="宋体"/>
          <w:color w:val="auto"/>
        </w:rPr>
      </w:pPr>
      <w:bookmarkStart w:id="133" w:name="_Toc16730"/>
      <w:r>
        <w:rPr>
          <w:rFonts w:hint="eastAsia" w:ascii="宋体" w:hAnsi="宋体" w:eastAsia="宋体" w:cs="宋体"/>
          <w:color w:val="auto"/>
        </w:rPr>
        <w:t>合同格式</w:t>
      </w:r>
      <w:bookmarkEnd w:id="130"/>
      <w:bookmarkEnd w:id="131"/>
      <w:bookmarkEnd w:id="132"/>
      <w:bookmarkEnd w:id="133"/>
    </w:p>
    <w:p>
      <w:pPr>
        <w:spacing w:line="420" w:lineRule="atLeast"/>
        <w:ind w:right="560"/>
        <w:rPr>
          <w:rFonts w:ascii="宋体" w:hAnsi="宋体" w:eastAsia="宋体"/>
          <w:color w:val="auto"/>
          <w:sz w:val="21"/>
          <w:szCs w:val="21"/>
        </w:rPr>
      </w:pPr>
      <w:r>
        <w:rPr>
          <w:rFonts w:hint="eastAsia" w:ascii="宋体" w:hAnsi="宋体" w:eastAsia="宋体"/>
          <w:color w:val="auto"/>
          <w:sz w:val="21"/>
          <w:szCs w:val="21"/>
        </w:rPr>
        <w:t>合同编号：</w:t>
      </w:r>
    </w:p>
    <w:p>
      <w:pPr>
        <w:spacing w:line="420" w:lineRule="atLeast"/>
        <w:rPr>
          <w:rFonts w:ascii="宋体" w:hAnsi="宋体" w:eastAsia="宋体"/>
          <w:color w:val="auto"/>
          <w:sz w:val="21"/>
          <w:szCs w:val="21"/>
        </w:rPr>
      </w:pPr>
      <w:r>
        <w:rPr>
          <w:rFonts w:hint="eastAsia" w:ascii="宋体" w:hAnsi="宋体" w:eastAsia="宋体"/>
          <w:color w:val="auto"/>
          <w:sz w:val="21"/>
          <w:szCs w:val="21"/>
        </w:rPr>
        <w:t>甲方：</w:t>
      </w:r>
    </w:p>
    <w:p>
      <w:pPr>
        <w:spacing w:line="420" w:lineRule="atLeast"/>
        <w:rPr>
          <w:rFonts w:ascii="宋体" w:hAnsi="宋体" w:eastAsia="宋体"/>
          <w:color w:val="auto"/>
          <w:sz w:val="21"/>
          <w:szCs w:val="21"/>
        </w:rPr>
      </w:pPr>
      <w:r>
        <w:rPr>
          <w:rFonts w:hint="eastAsia" w:ascii="宋体" w:hAnsi="宋体" w:eastAsia="宋体"/>
          <w:color w:val="auto"/>
          <w:sz w:val="21"/>
          <w:szCs w:val="21"/>
        </w:rPr>
        <w:t xml:space="preserve">乙方：“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”为中标单位</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受甲方委托，</w:t>
      </w:r>
      <w:r>
        <w:rPr>
          <w:rFonts w:hint="eastAsia" w:ascii="宋体" w:hAnsi="宋体" w:eastAsia="宋体"/>
          <w:color w:val="auto"/>
          <w:sz w:val="21"/>
          <w:szCs w:val="21"/>
          <w:u w:val="single"/>
        </w:rPr>
        <w:t xml:space="preserve">           (采购代理机构)</w:t>
      </w:r>
      <w:r>
        <w:rPr>
          <w:rFonts w:hint="eastAsia" w:ascii="宋体" w:hAnsi="宋体" w:eastAsia="宋体"/>
          <w:color w:val="auto"/>
          <w:sz w:val="21"/>
          <w:szCs w:val="21"/>
        </w:rPr>
        <w:t>组织对</w:t>
      </w:r>
      <w:r>
        <w:rPr>
          <w:rFonts w:hint="eastAsia" w:ascii="宋体" w:hAnsi="宋体" w:eastAsia="宋体"/>
          <w:color w:val="auto"/>
          <w:sz w:val="21"/>
          <w:szCs w:val="21"/>
          <w:u w:val="single"/>
        </w:rPr>
        <w:t xml:space="preserve">         （项目名称）</w:t>
      </w:r>
      <w:r>
        <w:rPr>
          <w:rFonts w:hint="eastAsia" w:ascii="宋体" w:hAnsi="宋体" w:eastAsia="宋体"/>
          <w:color w:val="auto"/>
          <w:sz w:val="21"/>
          <w:szCs w:val="21"/>
        </w:rPr>
        <w:t>采购项目（采购项目编号为</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）进行采购，于</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年</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月</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日通过公开招标，经评标委员会评定乙方</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为中标单位。为了保护甲、乙双方合法权益，根据《中华人民共和国政府采购法》及其实施条例、《中华人民共和国</w:t>
      </w:r>
      <w:r>
        <w:rPr>
          <w:color w:val="auto"/>
        </w:rPr>
        <w:fldChar w:fldCharType="begin"/>
      </w:r>
      <w:r>
        <w:rPr>
          <w:color w:val="auto"/>
        </w:rPr>
        <w:instrText xml:space="preserve"> HYPERLINK "http://www.chinalawedu.com/web/23251/" \t "_blank" \o "合同法" </w:instrText>
      </w:r>
      <w:r>
        <w:rPr>
          <w:color w:val="auto"/>
        </w:rPr>
        <w:fldChar w:fldCharType="separate"/>
      </w:r>
      <w:r>
        <w:rPr>
          <w:rFonts w:hint="eastAsia" w:ascii="宋体" w:hAnsi="宋体" w:eastAsia="宋体"/>
          <w:color w:val="auto"/>
          <w:sz w:val="21"/>
          <w:szCs w:val="21"/>
        </w:rPr>
        <w:t>合同法</w:t>
      </w:r>
      <w:r>
        <w:rPr>
          <w:rFonts w:hint="eastAsia" w:ascii="宋体" w:hAnsi="宋体" w:eastAsia="宋体"/>
          <w:color w:val="auto"/>
          <w:sz w:val="21"/>
          <w:szCs w:val="21"/>
        </w:rPr>
        <w:fldChar w:fldCharType="end"/>
      </w:r>
      <w:r>
        <w:rPr>
          <w:rFonts w:hint="eastAsia" w:ascii="宋体" w:hAnsi="宋体" w:eastAsia="宋体"/>
          <w:color w:val="auto"/>
          <w:sz w:val="21"/>
          <w:szCs w:val="21"/>
        </w:rPr>
        <w:t>》，在平等自愿的基础上，按照下面的条款和条件，签署本合同。</w:t>
      </w:r>
    </w:p>
    <w:p>
      <w:pPr>
        <w:spacing w:after="0" w:line="360" w:lineRule="auto"/>
        <w:ind w:firstLine="422" w:firstLineChars="200"/>
        <w:rPr>
          <w:rFonts w:ascii="宋体" w:hAnsi="宋体" w:eastAsia="宋体"/>
          <w:b/>
          <w:color w:val="auto"/>
          <w:sz w:val="21"/>
          <w:szCs w:val="21"/>
        </w:rPr>
      </w:pPr>
      <w:r>
        <w:rPr>
          <w:rFonts w:hint="eastAsia" w:ascii="宋体" w:hAnsi="宋体" w:eastAsia="宋体"/>
          <w:b/>
          <w:color w:val="auto"/>
          <w:sz w:val="21"/>
          <w:szCs w:val="21"/>
        </w:rPr>
        <w:t>第一条 合同项目</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1、项目名称：                              ；</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2、采购项目编号：                   。</w:t>
      </w:r>
    </w:p>
    <w:p>
      <w:pPr>
        <w:spacing w:after="0" w:line="360" w:lineRule="auto"/>
        <w:ind w:firstLine="422" w:firstLineChars="200"/>
        <w:rPr>
          <w:rFonts w:ascii="宋体" w:hAnsi="宋体" w:eastAsia="宋体"/>
          <w:b/>
          <w:color w:val="auto"/>
          <w:sz w:val="21"/>
          <w:szCs w:val="21"/>
        </w:rPr>
      </w:pPr>
      <w:r>
        <w:rPr>
          <w:rFonts w:hint="eastAsia" w:ascii="宋体" w:hAnsi="宋体" w:eastAsia="宋体"/>
          <w:b/>
          <w:color w:val="auto"/>
          <w:sz w:val="21"/>
          <w:szCs w:val="21"/>
        </w:rPr>
        <w:t>第二条 合同组成</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1、合同文件组成内容包括：本合同书 、中标通知书、投标文件（含澄清内容）、招标文件（含招标文件澄清通知）等。</w:t>
      </w:r>
    </w:p>
    <w:p>
      <w:pPr>
        <w:spacing w:after="0" w:line="360" w:lineRule="auto"/>
        <w:ind w:firstLine="422" w:firstLineChars="200"/>
        <w:rPr>
          <w:rFonts w:ascii="宋体" w:hAnsi="宋体" w:eastAsia="宋体"/>
          <w:b/>
          <w:color w:val="auto"/>
          <w:sz w:val="21"/>
          <w:szCs w:val="21"/>
        </w:rPr>
      </w:pPr>
      <w:bookmarkStart w:id="134" w:name="_Toc86481558"/>
      <w:r>
        <w:rPr>
          <w:rFonts w:hint="eastAsia" w:ascii="宋体" w:hAnsi="宋体" w:eastAsia="宋体"/>
          <w:b/>
          <w:color w:val="auto"/>
          <w:sz w:val="21"/>
          <w:szCs w:val="21"/>
        </w:rPr>
        <w:t>第三条 服务内容、标准及要求</w:t>
      </w:r>
    </w:p>
    <w:p>
      <w:pPr>
        <w:spacing w:after="0" w:line="360" w:lineRule="auto"/>
        <w:rPr>
          <w:rFonts w:ascii="宋体" w:hAnsi="宋体" w:eastAsia="宋体" w:cs="仿宋"/>
          <w:color w:val="auto"/>
          <w:sz w:val="21"/>
          <w:szCs w:val="21"/>
          <w:u w:val="single"/>
          <w:shd w:val="clear" w:color="auto" w:fill="FFFFFF"/>
        </w:rPr>
      </w:pPr>
      <w:r>
        <w:rPr>
          <w:rFonts w:hint="eastAsia" w:ascii="宋体" w:hAnsi="宋体" w:eastAsia="宋体" w:cs="仿宋"/>
          <w:color w:val="auto"/>
          <w:sz w:val="21"/>
          <w:szCs w:val="21"/>
          <w:shd w:val="clear" w:color="auto" w:fill="FFFFFF"/>
        </w:rPr>
        <w:t>1、采购内容：</w:t>
      </w:r>
      <w:r>
        <w:rPr>
          <w:rFonts w:hint="eastAsia" w:ascii="宋体" w:hAnsi="宋体" w:eastAsia="宋体" w:cs="仿宋"/>
          <w:color w:val="auto"/>
          <w:sz w:val="21"/>
          <w:szCs w:val="21"/>
          <w:u w:val="single"/>
          <w:shd w:val="clear" w:color="auto" w:fill="FFFFFF"/>
        </w:rPr>
        <w:t xml:space="preserve">                                                              。</w:t>
      </w:r>
    </w:p>
    <w:p>
      <w:pPr>
        <w:spacing w:after="0" w:line="360" w:lineRule="auto"/>
        <w:rPr>
          <w:rFonts w:ascii="宋体" w:hAnsi="宋体" w:eastAsia="宋体" w:cs="仿宋"/>
          <w:color w:val="auto"/>
          <w:sz w:val="21"/>
          <w:szCs w:val="21"/>
          <w:shd w:val="clear" w:color="auto" w:fill="FFFFFF"/>
        </w:rPr>
      </w:pPr>
      <w:r>
        <w:rPr>
          <w:rFonts w:hint="eastAsia" w:ascii="宋体" w:hAnsi="宋体" w:eastAsia="宋体" w:cs="仿宋"/>
          <w:color w:val="auto"/>
          <w:sz w:val="21"/>
          <w:szCs w:val="21"/>
          <w:shd w:val="clear" w:color="auto" w:fill="FFFFFF"/>
        </w:rPr>
        <w:t>2、采购标准：</w:t>
      </w:r>
      <w:r>
        <w:rPr>
          <w:rFonts w:hint="eastAsia" w:ascii="宋体" w:hAnsi="宋体" w:eastAsia="宋体" w:cs="仿宋"/>
          <w:color w:val="auto"/>
          <w:sz w:val="21"/>
          <w:szCs w:val="21"/>
          <w:u w:val="single"/>
          <w:shd w:val="clear" w:color="auto" w:fill="FFFFFF"/>
        </w:rPr>
        <w:t xml:space="preserve">                                                              。</w:t>
      </w:r>
    </w:p>
    <w:p>
      <w:pPr>
        <w:spacing w:after="0" w:line="360" w:lineRule="auto"/>
        <w:rPr>
          <w:rFonts w:ascii="宋体" w:hAnsi="宋体" w:eastAsia="宋体" w:cs="仿宋"/>
          <w:color w:val="auto"/>
          <w:sz w:val="21"/>
          <w:szCs w:val="21"/>
          <w:shd w:val="clear" w:color="auto" w:fill="FFFFFF"/>
        </w:rPr>
      </w:pPr>
      <w:r>
        <w:rPr>
          <w:rFonts w:hint="eastAsia" w:ascii="宋体" w:hAnsi="宋体" w:eastAsia="宋体" w:cs="仿宋"/>
          <w:color w:val="auto"/>
          <w:sz w:val="21"/>
          <w:szCs w:val="21"/>
          <w:shd w:val="clear" w:color="auto" w:fill="FFFFFF"/>
        </w:rPr>
        <w:t>3、采购要求：</w:t>
      </w:r>
      <w:r>
        <w:rPr>
          <w:rFonts w:hint="eastAsia" w:ascii="宋体" w:hAnsi="宋体" w:eastAsia="宋体" w:cs="仿宋"/>
          <w:color w:val="auto"/>
          <w:sz w:val="21"/>
          <w:szCs w:val="21"/>
          <w:u w:val="single"/>
          <w:shd w:val="clear" w:color="auto" w:fill="FFFFFF"/>
        </w:rPr>
        <w:t xml:space="preserve">                                                              。</w:t>
      </w:r>
    </w:p>
    <w:p>
      <w:pPr>
        <w:spacing w:after="0" w:line="360" w:lineRule="auto"/>
        <w:rPr>
          <w:rFonts w:ascii="宋体" w:hAnsi="宋体" w:eastAsia="宋体" w:cs="仿宋"/>
          <w:color w:val="auto"/>
          <w:sz w:val="21"/>
          <w:szCs w:val="21"/>
          <w:shd w:val="clear" w:color="auto" w:fill="FFFFFF"/>
        </w:rPr>
      </w:pPr>
      <w:r>
        <w:rPr>
          <w:rFonts w:hint="eastAsia" w:ascii="宋体" w:hAnsi="宋体" w:eastAsia="宋体" w:cs="仿宋"/>
          <w:color w:val="auto"/>
          <w:sz w:val="21"/>
          <w:szCs w:val="21"/>
          <w:shd w:val="clear" w:color="auto" w:fill="FFFFFF"/>
        </w:rPr>
        <w:t>4、具体采购内容采购标准及要求以招标文件用户需求书及乙方投标文件承诺条款及方案为准。</w:t>
      </w:r>
    </w:p>
    <w:p>
      <w:pPr>
        <w:spacing w:after="0" w:line="360" w:lineRule="auto"/>
        <w:ind w:firstLine="422" w:firstLineChars="200"/>
        <w:rPr>
          <w:rFonts w:ascii="宋体" w:hAnsi="宋体" w:eastAsia="宋体"/>
          <w:b/>
          <w:color w:val="auto"/>
          <w:sz w:val="21"/>
          <w:szCs w:val="21"/>
        </w:rPr>
      </w:pPr>
      <w:r>
        <w:rPr>
          <w:rFonts w:hint="eastAsia" w:ascii="宋体" w:hAnsi="宋体" w:eastAsia="宋体"/>
          <w:b/>
          <w:color w:val="auto"/>
          <w:sz w:val="21"/>
          <w:szCs w:val="21"/>
        </w:rPr>
        <w:t>第四条 价格</w:t>
      </w:r>
    </w:p>
    <w:p>
      <w:pPr>
        <w:spacing w:after="0" w:line="360" w:lineRule="auto"/>
        <w:ind w:firstLine="420" w:firstLineChars="200"/>
        <w:rPr>
          <w:rFonts w:ascii="宋体" w:hAnsi="宋体" w:eastAsia="宋体" w:cs="仿宋"/>
          <w:color w:val="auto"/>
          <w:sz w:val="21"/>
          <w:szCs w:val="21"/>
          <w:shd w:val="clear" w:color="auto" w:fill="FFFFFF"/>
        </w:rPr>
      </w:pPr>
      <w:r>
        <w:rPr>
          <w:rFonts w:hint="eastAsia" w:ascii="宋体" w:hAnsi="宋体" w:eastAsia="宋体" w:cs="仿宋"/>
          <w:color w:val="auto"/>
          <w:sz w:val="21"/>
          <w:szCs w:val="21"/>
          <w:shd w:val="clear" w:color="auto" w:fill="FFFFFF"/>
        </w:rPr>
        <w:t>1、合同总价包含：人工费、材料费、设备使用费、各种税费、保险费及合同实施过程中的不可预见费用等全部费用，按本次招标范围及中标价一次包干，结算时不作调整。</w:t>
      </w:r>
    </w:p>
    <w:p>
      <w:pPr>
        <w:spacing w:after="0" w:line="360" w:lineRule="auto"/>
        <w:ind w:firstLine="399" w:firstLineChars="190"/>
        <w:rPr>
          <w:rFonts w:ascii="宋体" w:hAnsi="宋体" w:eastAsia="宋体"/>
          <w:color w:val="auto"/>
          <w:sz w:val="21"/>
          <w:szCs w:val="21"/>
        </w:rPr>
      </w:pPr>
      <w:r>
        <w:rPr>
          <w:rFonts w:hint="eastAsia" w:ascii="宋体" w:hAnsi="宋体" w:eastAsia="宋体"/>
          <w:color w:val="auto"/>
          <w:sz w:val="21"/>
          <w:szCs w:val="21"/>
        </w:rPr>
        <w:t xml:space="preserve">2、合同总价：（人民币）大写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after="0" w:line="360" w:lineRule="auto"/>
        <w:ind w:firstLine="399" w:firstLineChars="190"/>
        <w:rPr>
          <w:rFonts w:ascii="宋体" w:hAnsi="宋体" w:eastAsia="宋体"/>
          <w:color w:val="auto"/>
          <w:sz w:val="21"/>
          <w:szCs w:val="21"/>
        </w:rPr>
      </w:pPr>
      <w:r>
        <w:rPr>
          <w:rFonts w:hint="eastAsia" w:ascii="宋体" w:hAnsi="宋体" w:eastAsia="宋体"/>
          <w:color w:val="auto"/>
          <w:sz w:val="21"/>
          <w:szCs w:val="21"/>
        </w:rPr>
        <w:t>3、本合同价为固定不变价。</w:t>
      </w:r>
    </w:p>
    <w:p>
      <w:pPr>
        <w:spacing w:after="0" w:line="360" w:lineRule="auto"/>
        <w:ind w:firstLine="422" w:firstLineChars="200"/>
        <w:rPr>
          <w:rFonts w:ascii="宋体" w:hAnsi="宋体" w:eastAsia="宋体"/>
          <w:b/>
          <w:color w:val="auto"/>
          <w:sz w:val="21"/>
          <w:szCs w:val="21"/>
        </w:rPr>
      </w:pPr>
      <w:r>
        <w:rPr>
          <w:rFonts w:hint="eastAsia" w:ascii="宋体" w:hAnsi="宋体" w:eastAsia="宋体"/>
          <w:b/>
          <w:color w:val="auto"/>
          <w:sz w:val="21"/>
          <w:szCs w:val="21"/>
        </w:rPr>
        <w:t>第五条 服务期限及地点</w:t>
      </w:r>
    </w:p>
    <w:p>
      <w:pPr>
        <w:spacing w:after="0" w:line="360" w:lineRule="auto"/>
        <w:ind w:firstLine="495" w:firstLineChars="236"/>
        <w:rPr>
          <w:rFonts w:ascii="宋体" w:hAnsi="宋体" w:eastAsia="宋体"/>
          <w:color w:val="auto"/>
          <w:sz w:val="21"/>
          <w:szCs w:val="21"/>
        </w:rPr>
      </w:pPr>
      <w:r>
        <w:rPr>
          <w:rFonts w:hint="eastAsia" w:ascii="宋体" w:hAnsi="宋体" w:eastAsia="宋体"/>
          <w:color w:val="auto"/>
          <w:sz w:val="21"/>
          <w:szCs w:val="21"/>
        </w:rPr>
        <w:t>1、服务期：  年，合同生效之日自       年  月  日至     年  月  日止。</w:t>
      </w:r>
    </w:p>
    <w:p>
      <w:pPr>
        <w:spacing w:after="0" w:line="360" w:lineRule="auto"/>
        <w:ind w:firstLine="495" w:firstLineChars="236"/>
        <w:rPr>
          <w:rFonts w:ascii="宋体" w:hAnsi="宋体" w:eastAsia="宋体"/>
          <w:color w:val="auto"/>
          <w:sz w:val="21"/>
          <w:szCs w:val="21"/>
        </w:rPr>
      </w:pPr>
      <w:r>
        <w:rPr>
          <w:rFonts w:hint="eastAsia" w:ascii="宋体" w:hAnsi="宋体" w:eastAsia="宋体"/>
          <w:color w:val="auto"/>
          <w:sz w:val="21"/>
          <w:szCs w:val="21"/>
        </w:rPr>
        <w:t>2、服务地点：              或甲方指定地点。</w:t>
      </w:r>
    </w:p>
    <w:p>
      <w:pPr>
        <w:spacing w:after="0" w:line="360" w:lineRule="auto"/>
        <w:ind w:firstLine="422" w:firstLineChars="200"/>
        <w:rPr>
          <w:rFonts w:ascii="宋体" w:hAnsi="宋体" w:eastAsia="宋体"/>
          <w:b/>
          <w:color w:val="auto"/>
          <w:sz w:val="21"/>
          <w:szCs w:val="21"/>
        </w:rPr>
      </w:pPr>
      <w:r>
        <w:rPr>
          <w:rFonts w:hint="eastAsia" w:ascii="宋体" w:hAnsi="宋体" w:eastAsia="宋体"/>
          <w:b/>
          <w:color w:val="auto"/>
          <w:sz w:val="21"/>
          <w:szCs w:val="21"/>
        </w:rPr>
        <w:t>第六条 付款方式</w:t>
      </w:r>
    </w:p>
    <w:p>
      <w:pPr>
        <w:pStyle w:val="15"/>
        <w:spacing w:line="360" w:lineRule="auto"/>
        <w:ind w:firstLine="420" w:firstLineChars="200"/>
        <w:rPr>
          <w:rFonts w:ascii="宋体" w:hAnsi="宋体"/>
          <w:color w:val="auto"/>
          <w:sz w:val="21"/>
          <w:szCs w:val="21"/>
        </w:rPr>
      </w:pPr>
      <w:r>
        <w:rPr>
          <w:rFonts w:hint="eastAsia" w:ascii="宋体" w:hAnsi="宋体"/>
          <w:color w:val="auto"/>
          <w:sz w:val="21"/>
          <w:szCs w:val="21"/>
        </w:rPr>
        <w:t>1、本合同的付款方式为：</w:t>
      </w:r>
      <w:r>
        <w:rPr>
          <w:rFonts w:hint="eastAsia" w:ascii="宋体" w:hAnsi="宋体"/>
          <w:color w:val="auto"/>
          <w:sz w:val="21"/>
          <w:szCs w:val="21"/>
          <w:u w:val="single"/>
        </w:rPr>
        <w:t xml:space="preserve">                     </w:t>
      </w:r>
      <w:r>
        <w:rPr>
          <w:rFonts w:hint="eastAsia" w:ascii="宋体" w:hAnsi="宋体"/>
          <w:color w:val="auto"/>
          <w:sz w:val="21"/>
          <w:szCs w:val="21"/>
        </w:rPr>
        <w:t>。</w:t>
      </w:r>
    </w:p>
    <w:p>
      <w:pPr>
        <w:pStyle w:val="15"/>
        <w:spacing w:line="360" w:lineRule="auto"/>
        <w:ind w:firstLine="420" w:firstLineChars="200"/>
        <w:rPr>
          <w:rFonts w:ascii="宋体" w:hAnsi="宋体"/>
          <w:color w:val="auto"/>
          <w:sz w:val="21"/>
          <w:szCs w:val="21"/>
        </w:rPr>
      </w:pPr>
      <w:r>
        <w:rPr>
          <w:rFonts w:hint="eastAsia" w:ascii="宋体" w:hAnsi="宋体"/>
          <w:color w:val="auto"/>
          <w:sz w:val="21"/>
          <w:szCs w:val="21"/>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after="0" w:line="360" w:lineRule="auto"/>
        <w:ind w:firstLine="422" w:firstLineChars="200"/>
        <w:rPr>
          <w:rFonts w:ascii="宋体" w:hAnsi="宋体" w:eastAsia="宋体"/>
          <w:b/>
          <w:color w:val="auto"/>
          <w:sz w:val="21"/>
          <w:szCs w:val="21"/>
        </w:rPr>
      </w:pPr>
      <w:r>
        <w:rPr>
          <w:rFonts w:hint="eastAsia" w:ascii="宋体" w:hAnsi="宋体" w:eastAsia="宋体"/>
          <w:b/>
          <w:color w:val="auto"/>
          <w:sz w:val="21"/>
          <w:szCs w:val="21"/>
        </w:rPr>
        <w:t>第七条 验收方式</w:t>
      </w:r>
    </w:p>
    <w:p>
      <w:pPr>
        <w:pStyle w:val="15"/>
        <w:spacing w:line="360" w:lineRule="auto"/>
        <w:ind w:firstLine="480"/>
        <w:rPr>
          <w:rFonts w:ascii="宋体" w:hAnsi="宋体"/>
          <w:color w:val="auto"/>
          <w:sz w:val="21"/>
          <w:szCs w:val="21"/>
        </w:rPr>
      </w:pPr>
      <w:r>
        <w:rPr>
          <w:rFonts w:hint="eastAsia" w:ascii="宋体" w:hAnsi="宋体"/>
          <w:color w:val="auto"/>
          <w:sz w:val="21"/>
          <w:szCs w:val="21"/>
        </w:rPr>
        <w:t>1、验收应在甲乙双方共同参加下进行，依据招标文件及本合同的有关规定制定的方案进行验收，并按国家有关规定、规范进行。</w:t>
      </w:r>
    </w:p>
    <w:p>
      <w:pPr>
        <w:pStyle w:val="15"/>
        <w:spacing w:line="360" w:lineRule="auto"/>
        <w:ind w:firstLine="480"/>
        <w:rPr>
          <w:rFonts w:ascii="宋体" w:hAnsi="宋体"/>
          <w:color w:val="auto"/>
          <w:sz w:val="21"/>
          <w:szCs w:val="21"/>
        </w:rPr>
      </w:pPr>
      <w:r>
        <w:rPr>
          <w:rFonts w:hint="eastAsia" w:ascii="宋体" w:hAnsi="宋体"/>
          <w:color w:val="auto"/>
          <w:sz w:val="21"/>
          <w:szCs w:val="21"/>
        </w:rPr>
        <w:t>2、甲方组织项目验收小组按国家有关规定、规范进行验收，必要时邀请相关专业人员或机构参与验收。</w:t>
      </w:r>
    </w:p>
    <w:p>
      <w:pPr>
        <w:pStyle w:val="15"/>
        <w:spacing w:line="360" w:lineRule="auto"/>
        <w:ind w:firstLine="480"/>
        <w:rPr>
          <w:rFonts w:ascii="宋体" w:hAnsi="宋体"/>
          <w:color w:val="auto"/>
          <w:sz w:val="21"/>
          <w:szCs w:val="21"/>
        </w:rPr>
      </w:pPr>
      <w:r>
        <w:rPr>
          <w:rFonts w:hint="eastAsia" w:ascii="宋体" w:hAnsi="宋体"/>
          <w:color w:val="auto"/>
          <w:sz w:val="21"/>
          <w:szCs w:val="21"/>
        </w:rPr>
        <w:t>3、对验收不合格的部分，乙方应在甲方规定时间内及时整改完善直至合格。</w:t>
      </w:r>
    </w:p>
    <w:p>
      <w:pPr>
        <w:spacing w:after="0" w:line="360" w:lineRule="auto"/>
        <w:ind w:firstLine="422" w:firstLineChars="200"/>
        <w:rPr>
          <w:rFonts w:ascii="宋体" w:hAnsi="宋体" w:eastAsia="宋体"/>
          <w:b/>
          <w:color w:val="auto"/>
          <w:sz w:val="21"/>
          <w:szCs w:val="21"/>
        </w:rPr>
      </w:pPr>
      <w:r>
        <w:rPr>
          <w:rFonts w:hint="eastAsia" w:ascii="宋体" w:hAnsi="宋体" w:eastAsia="宋体"/>
          <w:b/>
          <w:color w:val="auto"/>
          <w:sz w:val="21"/>
          <w:szCs w:val="21"/>
        </w:rPr>
        <w:t>第八条 税和关税</w:t>
      </w:r>
    </w:p>
    <w:p>
      <w:pPr>
        <w:pStyle w:val="15"/>
        <w:spacing w:line="360" w:lineRule="auto"/>
        <w:ind w:firstLine="482"/>
        <w:rPr>
          <w:rFonts w:ascii="宋体" w:hAnsi="宋体"/>
          <w:color w:val="auto"/>
          <w:sz w:val="21"/>
          <w:szCs w:val="21"/>
        </w:rPr>
      </w:pPr>
      <w:r>
        <w:rPr>
          <w:rFonts w:hint="eastAsia" w:ascii="宋体" w:hAnsi="宋体"/>
          <w:color w:val="auto"/>
          <w:sz w:val="21"/>
          <w:szCs w:val="21"/>
        </w:rPr>
        <w:t>1、中国政府根据现行税法对甲方征收的与本合同有关的一切税费均应由甲方承担。</w:t>
      </w:r>
    </w:p>
    <w:p>
      <w:pPr>
        <w:pStyle w:val="15"/>
        <w:spacing w:line="360" w:lineRule="auto"/>
        <w:ind w:firstLine="482"/>
        <w:rPr>
          <w:rFonts w:ascii="宋体" w:hAnsi="宋体"/>
          <w:color w:val="auto"/>
          <w:sz w:val="21"/>
          <w:szCs w:val="21"/>
        </w:rPr>
      </w:pPr>
      <w:r>
        <w:rPr>
          <w:rFonts w:hint="eastAsia" w:ascii="宋体" w:hAnsi="宋体"/>
          <w:color w:val="auto"/>
          <w:sz w:val="21"/>
          <w:szCs w:val="21"/>
        </w:rPr>
        <w:t>2、中国政府根据现行税法规定对乙方或其雇员征收的与本合同有关的一切税费应由乙方承担。</w:t>
      </w:r>
    </w:p>
    <w:p>
      <w:pPr>
        <w:pStyle w:val="15"/>
        <w:spacing w:line="360" w:lineRule="auto"/>
        <w:ind w:firstLine="482"/>
        <w:rPr>
          <w:rFonts w:ascii="宋体" w:hAnsi="宋体"/>
          <w:color w:val="auto"/>
          <w:sz w:val="21"/>
          <w:szCs w:val="21"/>
        </w:rPr>
      </w:pPr>
      <w:r>
        <w:rPr>
          <w:rFonts w:hint="eastAsia" w:ascii="宋体" w:hAnsi="宋体"/>
          <w:color w:val="auto"/>
          <w:sz w:val="21"/>
          <w:szCs w:val="21"/>
        </w:rPr>
        <w:t>3、在中国境外发生的与本合同执行有关的一切税费均应由乙方承担。</w:t>
      </w:r>
    </w:p>
    <w:p>
      <w:pPr>
        <w:spacing w:after="0" w:line="360" w:lineRule="auto"/>
        <w:ind w:firstLine="422" w:firstLineChars="200"/>
        <w:rPr>
          <w:rFonts w:ascii="宋体" w:hAnsi="宋体" w:eastAsia="宋体"/>
          <w:b/>
          <w:color w:val="auto"/>
          <w:sz w:val="21"/>
          <w:szCs w:val="21"/>
        </w:rPr>
      </w:pPr>
      <w:r>
        <w:rPr>
          <w:rFonts w:hint="eastAsia" w:ascii="宋体" w:hAnsi="宋体" w:eastAsia="宋体"/>
          <w:b/>
          <w:color w:val="auto"/>
          <w:sz w:val="21"/>
          <w:szCs w:val="21"/>
        </w:rPr>
        <w:t>第九条 其它约定</w:t>
      </w:r>
    </w:p>
    <w:p>
      <w:pPr>
        <w:spacing w:after="0" w:line="360" w:lineRule="auto"/>
        <w:ind w:firstLine="420" w:firstLineChars="200"/>
        <w:rPr>
          <w:rFonts w:ascii="宋体" w:hAnsi="宋体" w:eastAsia="宋体"/>
          <w:color w:val="auto"/>
          <w:sz w:val="21"/>
          <w:szCs w:val="21"/>
        </w:rPr>
      </w:pPr>
      <w:r>
        <w:rPr>
          <w:rFonts w:ascii="宋体" w:hAnsi="宋体" w:eastAsia="宋体"/>
          <w:color w:val="auto"/>
          <w:sz w:val="21"/>
          <w:szCs w:val="21"/>
        </w:rPr>
        <w:t>1</w:t>
      </w:r>
      <w:r>
        <w:rPr>
          <w:rFonts w:hint="eastAsia" w:ascii="宋体" w:hAnsi="宋体" w:eastAsia="宋体"/>
          <w:color w:val="auto"/>
          <w:sz w:val="21"/>
          <w:szCs w:val="21"/>
        </w:rPr>
        <w:t>、严禁转包，未经甲方书面同意不得分包。</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2、乙方全部工作人员，须符合东莞市政府用工标准要求。</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3、乙方服务人员进行服务期间的过失或故意行为，造成甲方经济损失的，由乙方负责赔偿。</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4、服务人员的劳动关系隶属乙方，乙方负责服务人员的工资、节假日和超时加班补助费、社会保险、住宿、伙食等。</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5、乙方负责本项目服务人员购买因意外身故或伤残和因意外事故住院治疗保险，并负责办理一切保险赔偿手续。</w:t>
      </w:r>
    </w:p>
    <w:p>
      <w:pPr>
        <w:spacing w:after="0" w:line="360" w:lineRule="auto"/>
        <w:ind w:firstLine="422" w:firstLineChars="200"/>
        <w:rPr>
          <w:rFonts w:ascii="宋体" w:hAnsi="宋体" w:eastAsia="宋体"/>
          <w:b/>
          <w:color w:val="auto"/>
          <w:sz w:val="21"/>
          <w:szCs w:val="21"/>
        </w:rPr>
      </w:pPr>
      <w:r>
        <w:rPr>
          <w:rFonts w:hint="eastAsia" w:ascii="宋体" w:hAnsi="宋体" w:eastAsia="宋体"/>
          <w:b/>
          <w:color w:val="auto"/>
          <w:sz w:val="21"/>
          <w:szCs w:val="21"/>
        </w:rPr>
        <w:t>第十条 违约责任</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1、合同双方任何一方不履行合同条款或不按合同约定履行条款的其它情况，均属违约，由违约方承担违约责任，赔偿因其违约造成的损失，并支付合同价款总额</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%的违约金。</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2、由于乙方的原因，导致双方签订的合同终止，乙方因此而遭受的损失，将由乙方独立承担，甲方对此不负任何责任，也不作任何赔偿。</w:t>
      </w:r>
    </w:p>
    <w:bookmarkEnd w:id="134"/>
    <w:p>
      <w:pPr>
        <w:spacing w:after="0" w:line="360" w:lineRule="auto"/>
        <w:ind w:firstLine="422" w:firstLineChars="200"/>
        <w:rPr>
          <w:rFonts w:ascii="宋体" w:hAnsi="宋体" w:eastAsia="宋体"/>
          <w:b/>
          <w:color w:val="auto"/>
          <w:sz w:val="21"/>
          <w:szCs w:val="21"/>
        </w:rPr>
      </w:pPr>
      <w:bookmarkStart w:id="135" w:name="_Toc86481570"/>
      <w:r>
        <w:rPr>
          <w:rFonts w:hint="eastAsia" w:ascii="宋体" w:hAnsi="宋体" w:eastAsia="宋体"/>
          <w:b/>
          <w:color w:val="auto"/>
          <w:sz w:val="21"/>
          <w:szCs w:val="21"/>
        </w:rPr>
        <w:t>第十一条 争议的解决</w:t>
      </w:r>
    </w:p>
    <w:p>
      <w:pPr>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1、凡与本合同有关而引起的一切争议，甲乙双方应首先通过友好协商解决，如经协商后仍不能达成协议时，任何一方可以向法院提出诉讼。</w:t>
      </w:r>
    </w:p>
    <w:p>
      <w:pPr>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2、本合同发生的诉讼管辖地为东莞市有管辖权的法院。</w:t>
      </w:r>
    </w:p>
    <w:p>
      <w:pPr>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3、在进行法院审理期间，除提交法院审理的事项外，合同其他部分仍继续履行。</w:t>
      </w:r>
    </w:p>
    <w:p>
      <w:pPr>
        <w:spacing w:after="0" w:line="360" w:lineRule="auto"/>
        <w:ind w:firstLine="420" w:firstLineChars="200"/>
        <w:rPr>
          <w:rFonts w:ascii="宋体" w:hAnsi="宋体" w:eastAsia="宋体" w:cs="仿宋"/>
          <w:color w:val="auto"/>
          <w:sz w:val="21"/>
          <w:szCs w:val="21"/>
          <w:shd w:val="clear" w:color="auto" w:fill="FFFFFF"/>
        </w:rPr>
      </w:pPr>
      <w:r>
        <w:rPr>
          <w:rFonts w:hint="eastAsia" w:ascii="宋体" w:hAnsi="宋体" w:eastAsia="宋体" w:cs="宋体"/>
          <w:color w:val="auto"/>
          <w:sz w:val="21"/>
          <w:szCs w:val="21"/>
        </w:rPr>
        <w:t>4、本合同按照中华人民共和国的法律进行解释</w:t>
      </w:r>
      <w:r>
        <w:rPr>
          <w:rFonts w:hint="eastAsia" w:ascii="宋体" w:hAnsi="宋体" w:eastAsia="宋体" w:cs="仿宋"/>
          <w:color w:val="auto"/>
          <w:sz w:val="21"/>
          <w:szCs w:val="21"/>
          <w:shd w:val="clear" w:color="auto" w:fill="FFFFFF"/>
        </w:rPr>
        <w:t>。</w:t>
      </w:r>
    </w:p>
    <w:p>
      <w:pPr>
        <w:spacing w:after="0" w:line="360" w:lineRule="auto"/>
        <w:ind w:firstLine="422" w:firstLineChars="200"/>
        <w:rPr>
          <w:rFonts w:ascii="宋体" w:hAnsi="宋体" w:eastAsia="宋体"/>
          <w:b/>
          <w:color w:val="auto"/>
          <w:sz w:val="21"/>
          <w:szCs w:val="21"/>
        </w:rPr>
      </w:pPr>
      <w:bookmarkStart w:id="136" w:name="_Toc86481569"/>
      <w:r>
        <w:rPr>
          <w:rFonts w:hint="eastAsia" w:ascii="宋体" w:hAnsi="宋体" w:eastAsia="宋体"/>
          <w:b/>
          <w:color w:val="auto"/>
          <w:sz w:val="21"/>
          <w:szCs w:val="21"/>
        </w:rPr>
        <w:t>第十二条 合同生效</w:t>
      </w:r>
      <w:bookmarkEnd w:id="136"/>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1、本合同由双方法定代表人或委托代理人签字盖章后立即生效，具有同等法律效力，合同有效期随服务期结束而自然终止。</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2、本合同一式    份，其中甲方    份、乙方    份，采购代理机构 壹 份（须在合同签订之日起7个工作日内递交）。</w:t>
      </w:r>
    </w:p>
    <w:p>
      <w:pPr>
        <w:spacing w:after="0" w:line="360" w:lineRule="auto"/>
        <w:ind w:firstLine="422" w:firstLineChars="200"/>
        <w:rPr>
          <w:rFonts w:ascii="宋体" w:hAnsi="宋体" w:eastAsia="宋体"/>
          <w:b/>
          <w:color w:val="auto"/>
          <w:sz w:val="21"/>
          <w:szCs w:val="21"/>
        </w:rPr>
      </w:pPr>
      <w:r>
        <w:rPr>
          <w:rFonts w:hint="eastAsia" w:ascii="宋体" w:hAnsi="宋体" w:eastAsia="宋体"/>
          <w:b/>
          <w:color w:val="auto"/>
          <w:sz w:val="21"/>
          <w:szCs w:val="21"/>
        </w:rPr>
        <w:t>第十三条 其它</w:t>
      </w:r>
      <w:bookmarkEnd w:id="135"/>
    </w:p>
    <w:p>
      <w:pPr>
        <w:spacing w:after="0" w:line="360" w:lineRule="auto"/>
        <w:ind w:firstLine="399" w:firstLineChars="190"/>
        <w:rPr>
          <w:rFonts w:ascii="宋体" w:hAnsi="宋体" w:eastAsia="宋体"/>
          <w:color w:val="auto"/>
          <w:sz w:val="21"/>
          <w:szCs w:val="21"/>
        </w:rPr>
      </w:pPr>
      <w:r>
        <w:rPr>
          <w:rFonts w:hint="eastAsia" w:ascii="宋体" w:hAnsi="宋体" w:eastAsia="宋体"/>
          <w:color w:val="auto"/>
          <w:sz w:val="21"/>
          <w:szCs w:val="21"/>
        </w:rPr>
        <w:t>1、本合同未尽事宜，双方可签订补充合同，补充合同与所有附件均为合同的有效组成部分，与本合同具有同等法律效力。</w:t>
      </w:r>
    </w:p>
    <w:p>
      <w:pPr>
        <w:spacing w:after="0" w:line="360" w:lineRule="auto"/>
        <w:ind w:firstLine="399" w:firstLineChars="190"/>
        <w:rPr>
          <w:rFonts w:ascii="宋体" w:hAnsi="宋体" w:eastAsia="宋体"/>
          <w:color w:val="auto"/>
          <w:sz w:val="21"/>
          <w:szCs w:val="21"/>
        </w:rPr>
      </w:pPr>
      <w:r>
        <w:rPr>
          <w:rFonts w:hint="eastAsia" w:ascii="宋体" w:hAnsi="宋体" w:eastAsia="宋体"/>
          <w:color w:val="auto"/>
          <w:sz w:val="21"/>
          <w:szCs w:val="21"/>
        </w:rPr>
        <w:t>2、在执行本合同的过程中，所有经甲乙双方签署确认的文件（包括会议纪要、补充协议、往来信函、合同附件等）即成为本合同的有效组成部分，其生效日期为双方签字盖章或确认之日期。</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本合同合计   页A4纸张，缺页之合同为无效合同。</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甲方（盖章）：                      乙方（盖章）：</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法定代表(签字)：                   法定代表(签字)：</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 xml:space="preserve">地址：                             地址： </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电话：                             电话：</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传真：</w:t>
      </w:r>
      <w:r>
        <w:rPr>
          <w:rFonts w:hint="eastAsia" w:ascii="宋体" w:hAnsi="宋体" w:eastAsia="宋体"/>
          <w:color w:val="auto"/>
          <w:sz w:val="21"/>
          <w:szCs w:val="21"/>
        </w:rPr>
        <w:tab/>
      </w:r>
      <w:r>
        <w:rPr>
          <w:rFonts w:hint="eastAsia" w:ascii="宋体" w:hAnsi="宋体" w:eastAsia="宋体"/>
          <w:color w:val="auto"/>
          <w:sz w:val="21"/>
          <w:szCs w:val="21"/>
        </w:rPr>
        <w:tab/>
      </w:r>
      <w:r>
        <w:rPr>
          <w:rFonts w:hint="eastAsia" w:ascii="宋体" w:hAnsi="宋体" w:eastAsia="宋体"/>
          <w:color w:val="auto"/>
          <w:sz w:val="21"/>
          <w:szCs w:val="21"/>
        </w:rPr>
        <w:tab/>
      </w:r>
      <w:r>
        <w:rPr>
          <w:rFonts w:hint="eastAsia" w:ascii="宋体" w:hAnsi="宋体" w:eastAsia="宋体"/>
          <w:color w:val="auto"/>
          <w:sz w:val="21"/>
          <w:szCs w:val="21"/>
        </w:rPr>
        <w:tab/>
      </w:r>
      <w:r>
        <w:rPr>
          <w:rFonts w:hint="eastAsia" w:ascii="宋体" w:hAnsi="宋体" w:eastAsia="宋体"/>
          <w:color w:val="auto"/>
          <w:sz w:val="21"/>
          <w:szCs w:val="21"/>
        </w:rPr>
        <w:tab/>
      </w:r>
      <w:r>
        <w:rPr>
          <w:rFonts w:hint="eastAsia" w:ascii="宋体" w:hAnsi="宋体" w:eastAsia="宋体"/>
          <w:color w:val="auto"/>
          <w:sz w:val="21"/>
          <w:szCs w:val="21"/>
        </w:rPr>
        <w:t>传真：</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开户银行：</w:t>
      </w:r>
      <w:r>
        <w:rPr>
          <w:rFonts w:hint="eastAsia" w:ascii="宋体" w:hAnsi="宋体" w:eastAsia="宋体"/>
          <w:color w:val="auto"/>
          <w:sz w:val="21"/>
          <w:szCs w:val="21"/>
        </w:rPr>
        <w:tab/>
      </w:r>
      <w:r>
        <w:rPr>
          <w:rFonts w:hint="eastAsia" w:ascii="宋体" w:hAnsi="宋体" w:eastAsia="宋体"/>
          <w:color w:val="auto"/>
          <w:sz w:val="21"/>
          <w:szCs w:val="21"/>
        </w:rPr>
        <w:t xml:space="preserve">                     开户银行：</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账号：                             账号：</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签约时间：</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签约地点：</w:t>
      </w:r>
    </w:p>
    <w:p>
      <w:pPr>
        <w:rPr>
          <w:rFonts w:ascii="宋体" w:hAnsi="宋体" w:eastAsia="宋体"/>
          <w:b/>
          <w:color w:val="auto"/>
          <w:sz w:val="21"/>
          <w:szCs w:val="21"/>
        </w:rPr>
      </w:pPr>
      <w:r>
        <w:rPr>
          <w:rFonts w:hint="eastAsia" w:ascii="宋体" w:hAnsi="宋体" w:eastAsia="宋体"/>
          <w:b/>
          <w:color w:val="auto"/>
          <w:sz w:val="21"/>
          <w:szCs w:val="21"/>
        </w:rPr>
        <w:t>此仅为合同书样本，中标人需根据实际情况和甲方签订相应的合同！</w:t>
      </w:r>
    </w:p>
    <w:p>
      <w:pPr>
        <w:rPr>
          <w:rFonts w:ascii="宋体" w:hAnsi="宋体" w:eastAsia="宋体"/>
          <w:b/>
          <w:color w:val="auto"/>
          <w:sz w:val="21"/>
          <w:szCs w:val="21"/>
        </w:rPr>
      </w:pPr>
      <w:r>
        <w:rPr>
          <w:rFonts w:hint="eastAsia" w:ascii="宋体" w:hAnsi="宋体" w:eastAsia="宋体"/>
          <w:b/>
          <w:color w:val="auto"/>
          <w:sz w:val="21"/>
          <w:szCs w:val="21"/>
        </w:rPr>
        <w:br w:type="page"/>
      </w:r>
    </w:p>
    <w:p>
      <w:pPr>
        <w:pStyle w:val="4"/>
        <w:spacing w:before="0" w:after="0" w:line="240" w:lineRule="auto"/>
        <w:rPr>
          <w:color w:val="auto"/>
          <w:sz w:val="28"/>
          <w:szCs w:val="28"/>
        </w:rPr>
      </w:pPr>
      <w:bookmarkStart w:id="137" w:name="_Toc23749"/>
      <w:r>
        <w:rPr>
          <w:rFonts w:hint="eastAsia"/>
          <w:color w:val="auto"/>
          <w:sz w:val="28"/>
          <w:szCs w:val="28"/>
        </w:rPr>
        <w:t>第六部分  附件－投标文件格式</w:t>
      </w:r>
      <w:bookmarkEnd w:id="137"/>
    </w:p>
    <w:p>
      <w:pPr>
        <w:rPr>
          <w:color w:val="auto"/>
        </w:rPr>
      </w:pPr>
    </w:p>
    <w:p>
      <w:pPr>
        <w:pStyle w:val="6"/>
        <w:widowControl w:val="0"/>
        <w:overflowPunct w:val="0"/>
        <w:spacing w:before="0" w:after="0" w:line="240" w:lineRule="auto"/>
        <w:rPr>
          <w:rFonts w:ascii="宋体" w:hAnsi="宋体" w:eastAsia="宋体"/>
          <w:color w:val="auto"/>
          <w:sz w:val="21"/>
          <w:szCs w:val="21"/>
        </w:rPr>
      </w:pPr>
      <w:bookmarkStart w:id="138" w:name="_Toc26830"/>
      <w:r>
        <w:rPr>
          <w:rFonts w:hint="eastAsia" w:ascii="宋体" w:hAnsi="宋体" w:eastAsia="宋体"/>
          <w:color w:val="auto"/>
          <w:sz w:val="21"/>
          <w:szCs w:val="21"/>
        </w:rPr>
        <w:t>附件1.投标文件目录</w:t>
      </w:r>
      <w:bookmarkEnd w:id="138"/>
    </w:p>
    <w:p>
      <w:pPr>
        <w:jc w:val="center"/>
        <w:rPr>
          <w:rFonts w:ascii="黑体" w:eastAsia="黑体"/>
          <w:color w:val="auto"/>
          <w:sz w:val="32"/>
          <w:szCs w:val="32"/>
        </w:rPr>
      </w:pPr>
    </w:p>
    <w:p>
      <w:pPr>
        <w:jc w:val="center"/>
        <w:rPr>
          <w:rFonts w:ascii="黑体" w:eastAsia="黑体"/>
          <w:color w:val="auto"/>
          <w:sz w:val="32"/>
          <w:szCs w:val="32"/>
        </w:rPr>
      </w:pPr>
      <w:r>
        <w:rPr>
          <w:rFonts w:hint="eastAsia" w:ascii="黑体" w:eastAsia="黑体"/>
          <w:color w:val="auto"/>
          <w:sz w:val="32"/>
          <w:szCs w:val="32"/>
        </w:rPr>
        <w:t>目录</w:t>
      </w:r>
    </w:p>
    <w:p>
      <w:pPr>
        <w:adjustRightInd/>
        <w:snapToGrid/>
        <w:spacing w:line="276" w:lineRule="auto"/>
        <w:rPr>
          <w:rFonts w:ascii="宋体" w:hAnsi="宋体" w:eastAsia="宋体"/>
          <w:color w:val="auto"/>
          <w:sz w:val="21"/>
          <w:szCs w:val="21"/>
        </w:rPr>
      </w:pPr>
      <w:r>
        <w:rPr>
          <w:rFonts w:hint="eastAsia" w:ascii="宋体" w:hAnsi="宋体" w:eastAsia="宋体"/>
          <w:color w:val="auto"/>
          <w:sz w:val="21"/>
          <w:szCs w:val="21"/>
        </w:rPr>
        <w:t>格式自理。</w:t>
      </w:r>
    </w:p>
    <w:p>
      <w:pPr>
        <w:adjustRightInd/>
        <w:snapToGrid/>
        <w:spacing w:line="276" w:lineRule="auto"/>
        <w:rPr>
          <w:rFonts w:ascii="宋体" w:hAnsi="宋体" w:eastAsia="宋体"/>
          <w:color w:val="auto"/>
          <w:sz w:val="21"/>
          <w:szCs w:val="21"/>
        </w:rPr>
      </w:pPr>
    </w:p>
    <w:p>
      <w:pPr>
        <w:adjustRightInd/>
        <w:snapToGrid/>
        <w:spacing w:line="276" w:lineRule="auto"/>
        <w:rPr>
          <w:rFonts w:ascii="宋体" w:hAnsi="宋体" w:eastAsia="宋体"/>
          <w:color w:val="auto"/>
          <w:sz w:val="21"/>
          <w:szCs w:val="21"/>
        </w:rPr>
      </w:pPr>
    </w:p>
    <w:p>
      <w:pPr>
        <w:adjustRightInd/>
        <w:snapToGrid/>
        <w:spacing w:line="276" w:lineRule="auto"/>
        <w:rPr>
          <w:rFonts w:ascii="宋体" w:hAnsi="宋体" w:eastAsia="宋体"/>
          <w:color w:val="auto"/>
          <w:sz w:val="21"/>
          <w:szCs w:val="21"/>
        </w:rPr>
      </w:pPr>
      <w:r>
        <w:rPr>
          <w:rFonts w:hint="eastAsia" w:ascii="宋体" w:hAnsi="宋体" w:eastAsia="宋体"/>
          <w:color w:val="auto"/>
          <w:sz w:val="21"/>
          <w:szCs w:val="21"/>
        </w:rPr>
        <w:t>注：</w:t>
      </w:r>
    </w:p>
    <w:p>
      <w:pPr>
        <w:adjustRightInd/>
        <w:snapToGrid/>
        <w:spacing w:line="276" w:lineRule="auto"/>
        <w:rPr>
          <w:rFonts w:ascii="宋体" w:hAnsi="宋体" w:eastAsia="宋体"/>
          <w:color w:val="auto"/>
          <w:sz w:val="21"/>
          <w:szCs w:val="21"/>
        </w:rPr>
      </w:pPr>
      <w:r>
        <w:rPr>
          <w:rFonts w:hint="eastAsia" w:ascii="宋体" w:hAnsi="宋体" w:eastAsia="宋体"/>
          <w:color w:val="auto"/>
          <w:sz w:val="21"/>
          <w:szCs w:val="21"/>
        </w:rPr>
        <w:t>1、投标人制作的投标文件应当具备目录。</w:t>
      </w:r>
      <w:r>
        <w:rPr>
          <w:rFonts w:ascii="宋体" w:hAnsi="宋体" w:eastAsia="宋体"/>
          <w:color w:val="auto"/>
          <w:sz w:val="21"/>
          <w:szCs w:val="21"/>
        </w:rPr>
        <w:br w:type="page"/>
      </w:r>
    </w:p>
    <w:p>
      <w:pPr>
        <w:pStyle w:val="6"/>
        <w:widowControl w:val="0"/>
        <w:overflowPunct w:val="0"/>
        <w:spacing w:before="0" w:after="0" w:line="240" w:lineRule="auto"/>
        <w:rPr>
          <w:rFonts w:ascii="宋体" w:hAnsi="宋体" w:eastAsia="宋体"/>
          <w:color w:val="auto"/>
          <w:sz w:val="21"/>
          <w:szCs w:val="21"/>
        </w:rPr>
      </w:pPr>
      <w:bookmarkStart w:id="139" w:name="_Toc18893"/>
      <w:r>
        <w:rPr>
          <w:rFonts w:hint="eastAsia" w:ascii="宋体" w:hAnsi="宋体" w:eastAsia="宋体"/>
          <w:color w:val="auto"/>
          <w:sz w:val="21"/>
          <w:szCs w:val="21"/>
        </w:rPr>
        <w:t>附件1-1 评分标准索引表</w:t>
      </w:r>
      <w:bookmarkEnd w:id="139"/>
    </w:p>
    <w:p>
      <w:pPr>
        <w:adjustRightInd/>
        <w:snapToGrid/>
        <w:spacing w:line="276" w:lineRule="auto"/>
        <w:rPr>
          <w:rFonts w:ascii="宋体" w:hAnsi="宋体" w:eastAsia="宋体"/>
          <w:color w:val="auto"/>
          <w:sz w:val="21"/>
          <w:szCs w:val="21"/>
        </w:rPr>
      </w:pPr>
    </w:p>
    <w:p>
      <w:pPr>
        <w:jc w:val="center"/>
        <w:rPr>
          <w:rFonts w:ascii="黑体" w:eastAsia="黑体"/>
          <w:color w:val="auto"/>
          <w:sz w:val="32"/>
          <w:szCs w:val="32"/>
        </w:rPr>
      </w:pPr>
      <w:r>
        <w:rPr>
          <w:rFonts w:hint="eastAsia" w:ascii="黑体" w:eastAsia="黑体"/>
          <w:color w:val="auto"/>
          <w:sz w:val="32"/>
          <w:szCs w:val="32"/>
        </w:rPr>
        <w:t>评分标准索引表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spacing w:after="0"/>
              <w:jc w:val="center"/>
              <w:rPr>
                <w:rFonts w:ascii="宋体" w:hAnsi="宋体" w:eastAsia="宋体" w:cs="宋体"/>
                <w:color w:val="auto"/>
              </w:rPr>
            </w:pPr>
            <w:r>
              <w:rPr>
                <w:rFonts w:hint="eastAsia" w:ascii="宋体" w:hAnsi="宋体" w:eastAsia="宋体" w:cs="宋体"/>
                <w:color w:val="auto"/>
              </w:rPr>
              <w:t>序号</w:t>
            </w:r>
          </w:p>
        </w:tc>
        <w:tc>
          <w:tcPr>
            <w:tcW w:w="1704" w:type="dxa"/>
            <w:vAlign w:val="center"/>
          </w:tcPr>
          <w:p>
            <w:pPr>
              <w:spacing w:after="0"/>
              <w:jc w:val="center"/>
              <w:rPr>
                <w:rFonts w:ascii="宋体" w:hAnsi="宋体" w:eastAsia="宋体" w:cs="宋体"/>
                <w:color w:val="auto"/>
              </w:rPr>
            </w:pPr>
            <w:r>
              <w:rPr>
                <w:rFonts w:hint="eastAsia" w:ascii="宋体" w:hAnsi="宋体" w:eastAsia="宋体" w:cs="宋体"/>
                <w:color w:val="auto"/>
              </w:rPr>
              <w:t>评审项目</w:t>
            </w:r>
          </w:p>
        </w:tc>
        <w:tc>
          <w:tcPr>
            <w:tcW w:w="1704" w:type="dxa"/>
            <w:vAlign w:val="center"/>
          </w:tcPr>
          <w:p>
            <w:pPr>
              <w:spacing w:after="0"/>
              <w:jc w:val="center"/>
              <w:rPr>
                <w:rFonts w:ascii="宋体" w:hAnsi="宋体" w:eastAsia="宋体" w:cs="宋体"/>
                <w:color w:val="auto"/>
              </w:rPr>
            </w:pPr>
            <w:r>
              <w:rPr>
                <w:rFonts w:hint="eastAsia" w:ascii="宋体" w:hAnsi="宋体" w:eastAsia="宋体" w:cs="宋体"/>
                <w:color w:val="auto"/>
              </w:rPr>
              <w:t>评分细则</w:t>
            </w:r>
          </w:p>
        </w:tc>
        <w:tc>
          <w:tcPr>
            <w:tcW w:w="1705" w:type="dxa"/>
            <w:vAlign w:val="center"/>
          </w:tcPr>
          <w:p>
            <w:pPr>
              <w:spacing w:after="0"/>
              <w:jc w:val="center"/>
              <w:rPr>
                <w:rFonts w:ascii="宋体" w:hAnsi="宋体" w:eastAsia="宋体" w:cs="宋体"/>
                <w:color w:val="auto"/>
              </w:rPr>
            </w:pPr>
            <w:r>
              <w:rPr>
                <w:rFonts w:hint="eastAsia" w:ascii="宋体" w:hAnsi="宋体" w:eastAsia="宋体" w:cs="宋体"/>
                <w:color w:val="auto"/>
              </w:rPr>
              <w:t>分值</w:t>
            </w:r>
          </w:p>
        </w:tc>
        <w:tc>
          <w:tcPr>
            <w:tcW w:w="1705" w:type="dxa"/>
            <w:vAlign w:val="center"/>
          </w:tcPr>
          <w:p>
            <w:pPr>
              <w:spacing w:after="0"/>
              <w:jc w:val="center"/>
              <w:rPr>
                <w:rFonts w:ascii="宋体" w:hAnsi="宋体" w:eastAsia="宋体" w:cs="宋体"/>
                <w:color w:val="auto"/>
              </w:rPr>
            </w:pPr>
            <w:r>
              <w:rPr>
                <w:rFonts w:hint="eastAsia" w:ascii="宋体" w:hAnsi="宋体" w:eastAsia="宋体" w:cs="宋体"/>
                <w:color w:val="auto"/>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rPr>
            </w:pPr>
            <w:r>
              <w:rPr>
                <w:rFonts w:hint="eastAsia" w:ascii="宋体" w:hAnsi="宋体" w:eastAsia="宋体" w:cs="宋体"/>
                <w:color w:val="auto"/>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rPr>
            </w:pPr>
          </w:p>
        </w:tc>
        <w:tc>
          <w:tcPr>
            <w:tcW w:w="1704" w:type="dxa"/>
            <w:vAlign w:val="center"/>
          </w:tcPr>
          <w:p>
            <w:pPr>
              <w:spacing w:after="0"/>
              <w:jc w:val="center"/>
              <w:rPr>
                <w:rFonts w:ascii="宋体" w:hAnsi="宋体" w:eastAsia="宋体" w:cs="宋体"/>
                <w:color w:val="auto"/>
              </w:rPr>
            </w:pPr>
          </w:p>
        </w:tc>
        <w:tc>
          <w:tcPr>
            <w:tcW w:w="1704" w:type="dxa"/>
            <w:vAlign w:val="center"/>
          </w:tcPr>
          <w:p>
            <w:pPr>
              <w:spacing w:after="0"/>
              <w:jc w:val="center"/>
              <w:rPr>
                <w:rFonts w:ascii="宋体" w:hAnsi="宋体" w:eastAsia="宋体" w:cs="宋体"/>
                <w:color w:val="auto"/>
              </w:rPr>
            </w:pPr>
          </w:p>
        </w:tc>
        <w:tc>
          <w:tcPr>
            <w:tcW w:w="1705" w:type="dxa"/>
            <w:vAlign w:val="center"/>
          </w:tcPr>
          <w:p>
            <w:pPr>
              <w:spacing w:after="0"/>
              <w:jc w:val="center"/>
              <w:rPr>
                <w:rFonts w:ascii="宋体" w:hAnsi="宋体" w:eastAsia="宋体" w:cs="宋体"/>
                <w:color w:val="auto"/>
              </w:rPr>
            </w:pPr>
          </w:p>
        </w:tc>
        <w:tc>
          <w:tcPr>
            <w:tcW w:w="1705" w:type="dxa"/>
            <w:vAlign w:val="center"/>
          </w:tcPr>
          <w:p>
            <w:pPr>
              <w:spacing w:after="0"/>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rPr>
            </w:pPr>
          </w:p>
        </w:tc>
        <w:tc>
          <w:tcPr>
            <w:tcW w:w="1704" w:type="dxa"/>
            <w:vAlign w:val="center"/>
          </w:tcPr>
          <w:p>
            <w:pPr>
              <w:spacing w:after="0"/>
              <w:jc w:val="center"/>
              <w:rPr>
                <w:rFonts w:ascii="宋体" w:hAnsi="宋体" w:eastAsia="宋体" w:cs="宋体"/>
                <w:color w:val="auto"/>
              </w:rPr>
            </w:pPr>
          </w:p>
        </w:tc>
        <w:tc>
          <w:tcPr>
            <w:tcW w:w="1704" w:type="dxa"/>
            <w:vAlign w:val="center"/>
          </w:tcPr>
          <w:p>
            <w:pPr>
              <w:spacing w:after="0"/>
              <w:jc w:val="center"/>
              <w:rPr>
                <w:rFonts w:ascii="宋体" w:hAnsi="宋体" w:eastAsia="宋体" w:cs="宋体"/>
                <w:color w:val="auto"/>
              </w:rPr>
            </w:pPr>
          </w:p>
        </w:tc>
        <w:tc>
          <w:tcPr>
            <w:tcW w:w="1705" w:type="dxa"/>
            <w:vAlign w:val="center"/>
          </w:tcPr>
          <w:p>
            <w:pPr>
              <w:spacing w:after="0"/>
              <w:jc w:val="center"/>
              <w:rPr>
                <w:rFonts w:ascii="宋体" w:hAnsi="宋体" w:eastAsia="宋体" w:cs="宋体"/>
                <w:color w:val="auto"/>
              </w:rPr>
            </w:pPr>
          </w:p>
        </w:tc>
        <w:tc>
          <w:tcPr>
            <w:tcW w:w="1705" w:type="dxa"/>
            <w:vAlign w:val="center"/>
          </w:tcPr>
          <w:p>
            <w:pPr>
              <w:spacing w:after="0"/>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rPr>
            </w:pPr>
          </w:p>
        </w:tc>
        <w:tc>
          <w:tcPr>
            <w:tcW w:w="1704" w:type="dxa"/>
            <w:vAlign w:val="center"/>
          </w:tcPr>
          <w:p>
            <w:pPr>
              <w:spacing w:after="0"/>
              <w:jc w:val="center"/>
              <w:rPr>
                <w:rFonts w:ascii="宋体" w:hAnsi="宋体" w:eastAsia="宋体" w:cs="宋体"/>
                <w:color w:val="auto"/>
              </w:rPr>
            </w:pPr>
          </w:p>
        </w:tc>
        <w:tc>
          <w:tcPr>
            <w:tcW w:w="1704" w:type="dxa"/>
            <w:vAlign w:val="center"/>
          </w:tcPr>
          <w:p>
            <w:pPr>
              <w:spacing w:after="0"/>
              <w:jc w:val="center"/>
              <w:rPr>
                <w:rFonts w:ascii="宋体" w:hAnsi="宋体" w:eastAsia="宋体" w:cs="宋体"/>
                <w:color w:val="auto"/>
              </w:rPr>
            </w:pPr>
          </w:p>
        </w:tc>
        <w:tc>
          <w:tcPr>
            <w:tcW w:w="1705" w:type="dxa"/>
            <w:vAlign w:val="center"/>
          </w:tcPr>
          <w:p>
            <w:pPr>
              <w:spacing w:after="0"/>
              <w:jc w:val="center"/>
              <w:rPr>
                <w:rFonts w:ascii="宋体" w:hAnsi="宋体" w:eastAsia="宋体" w:cs="宋体"/>
                <w:color w:val="auto"/>
              </w:rPr>
            </w:pPr>
          </w:p>
        </w:tc>
        <w:tc>
          <w:tcPr>
            <w:tcW w:w="1705" w:type="dxa"/>
            <w:vAlign w:val="center"/>
          </w:tcPr>
          <w:p>
            <w:pPr>
              <w:spacing w:after="0"/>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rPr>
            </w:pPr>
            <w:r>
              <w:rPr>
                <w:rFonts w:hint="eastAsia" w:ascii="宋体" w:hAnsi="宋体" w:eastAsia="宋体" w:cs="宋体"/>
                <w:color w:val="auto"/>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rPr>
            </w:pPr>
          </w:p>
        </w:tc>
        <w:tc>
          <w:tcPr>
            <w:tcW w:w="1704" w:type="dxa"/>
            <w:vAlign w:val="center"/>
          </w:tcPr>
          <w:p>
            <w:pPr>
              <w:spacing w:after="0"/>
              <w:jc w:val="center"/>
              <w:rPr>
                <w:rFonts w:ascii="宋体" w:hAnsi="宋体" w:eastAsia="宋体" w:cs="宋体"/>
                <w:color w:val="auto"/>
              </w:rPr>
            </w:pPr>
          </w:p>
        </w:tc>
        <w:tc>
          <w:tcPr>
            <w:tcW w:w="1704" w:type="dxa"/>
            <w:vAlign w:val="center"/>
          </w:tcPr>
          <w:p>
            <w:pPr>
              <w:spacing w:after="0"/>
              <w:jc w:val="center"/>
              <w:rPr>
                <w:rFonts w:ascii="宋体" w:hAnsi="宋体" w:eastAsia="宋体" w:cs="宋体"/>
                <w:color w:val="auto"/>
              </w:rPr>
            </w:pPr>
          </w:p>
        </w:tc>
        <w:tc>
          <w:tcPr>
            <w:tcW w:w="1705" w:type="dxa"/>
            <w:vAlign w:val="center"/>
          </w:tcPr>
          <w:p>
            <w:pPr>
              <w:spacing w:after="0"/>
              <w:jc w:val="center"/>
              <w:rPr>
                <w:rFonts w:ascii="宋体" w:hAnsi="宋体" w:eastAsia="宋体" w:cs="宋体"/>
                <w:color w:val="auto"/>
              </w:rPr>
            </w:pPr>
          </w:p>
        </w:tc>
        <w:tc>
          <w:tcPr>
            <w:tcW w:w="1705" w:type="dxa"/>
            <w:vAlign w:val="center"/>
          </w:tcPr>
          <w:p>
            <w:pPr>
              <w:spacing w:after="0"/>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rPr>
            </w:pPr>
          </w:p>
        </w:tc>
        <w:tc>
          <w:tcPr>
            <w:tcW w:w="1704" w:type="dxa"/>
            <w:vAlign w:val="center"/>
          </w:tcPr>
          <w:p>
            <w:pPr>
              <w:spacing w:after="0"/>
              <w:jc w:val="center"/>
              <w:rPr>
                <w:rFonts w:ascii="宋体" w:hAnsi="宋体" w:eastAsia="宋体" w:cs="宋体"/>
                <w:color w:val="auto"/>
              </w:rPr>
            </w:pPr>
          </w:p>
        </w:tc>
        <w:tc>
          <w:tcPr>
            <w:tcW w:w="1704" w:type="dxa"/>
            <w:vAlign w:val="center"/>
          </w:tcPr>
          <w:p>
            <w:pPr>
              <w:spacing w:after="0"/>
              <w:jc w:val="center"/>
              <w:rPr>
                <w:rFonts w:ascii="宋体" w:hAnsi="宋体" w:eastAsia="宋体" w:cs="宋体"/>
                <w:color w:val="auto"/>
              </w:rPr>
            </w:pPr>
          </w:p>
        </w:tc>
        <w:tc>
          <w:tcPr>
            <w:tcW w:w="1705" w:type="dxa"/>
            <w:vAlign w:val="center"/>
          </w:tcPr>
          <w:p>
            <w:pPr>
              <w:spacing w:after="0"/>
              <w:jc w:val="center"/>
              <w:rPr>
                <w:rFonts w:ascii="宋体" w:hAnsi="宋体" w:eastAsia="宋体" w:cs="宋体"/>
                <w:color w:val="auto"/>
              </w:rPr>
            </w:pPr>
          </w:p>
        </w:tc>
        <w:tc>
          <w:tcPr>
            <w:tcW w:w="1705" w:type="dxa"/>
            <w:vAlign w:val="center"/>
          </w:tcPr>
          <w:p>
            <w:pPr>
              <w:spacing w:after="0"/>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rPr>
            </w:pPr>
          </w:p>
        </w:tc>
        <w:tc>
          <w:tcPr>
            <w:tcW w:w="1704" w:type="dxa"/>
            <w:vAlign w:val="center"/>
          </w:tcPr>
          <w:p>
            <w:pPr>
              <w:spacing w:after="0"/>
              <w:jc w:val="center"/>
              <w:rPr>
                <w:rFonts w:ascii="宋体" w:hAnsi="宋体" w:eastAsia="宋体" w:cs="宋体"/>
                <w:color w:val="auto"/>
              </w:rPr>
            </w:pPr>
          </w:p>
        </w:tc>
        <w:tc>
          <w:tcPr>
            <w:tcW w:w="1704" w:type="dxa"/>
            <w:vAlign w:val="center"/>
          </w:tcPr>
          <w:p>
            <w:pPr>
              <w:spacing w:after="0"/>
              <w:jc w:val="center"/>
              <w:rPr>
                <w:rFonts w:ascii="宋体" w:hAnsi="宋体" w:eastAsia="宋体" w:cs="宋体"/>
                <w:color w:val="auto"/>
              </w:rPr>
            </w:pPr>
          </w:p>
        </w:tc>
        <w:tc>
          <w:tcPr>
            <w:tcW w:w="1705" w:type="dxa"/>
            <w:vAlign w:val="center"/>
          </w:tcPr>
          <w:p>
            <w:pPr>
              <w:spacing w:after="0"/>
              <w:jc w:val="center"/>
              <w:rPr>
                <w:rFonts w:ascii="宋体" w:hAnsi="宋体" w:eastAsia="宋体" w:cs="宋体"/>
                <w:color w:val="auto"/>
              </w:rPr>
            </w:pPr>
          </w:p>
        </w:tc>
        <w:tc>
          <w:tcPr>
            <w:tcW w:w="1705" w:type="dxa"/>
            <w:vAlign w:val="center"/>
          </w:tcPr>
          <w:p>
            <w:pPr>
              <w:spacing w:after="0"/>
              <w:jc w:val="center"/>
              <w:rPr>
                <w:rFonts w:ascii="宋体" w:hAnsi="宋体" w:eastAsia="宋体" w:cs="宋体"/>
                <w:color w:val="auto"/>
              </w:rPr>
            </w:pPr>
          </w:p>
        </w:tc>
      </w:tr>
    </w:tbl>
    <w:p>
      <w:pPr>
        <w:rPr>
          <w:rFonts w:ascii="宋体" w:hAnsi="宋体" w:eastAsia="宋体"/>
          <w:color w:val="auto"/>
          <w:sz w:val="21"/>
          <w:szCs w:val="21"/>
        </w:rPr>
      </w:pPr>
    </w:p>
    <w:p>
      <w:pPr>
        <w:rPr>
          <w:rFonts w:ascii="宋体" w:hAnsi="宋体" w:eastAsia="宋体"/>
          <w:color w:val="auto"/>
          <w:sz w:val="21"/>
          <w:szCs w:val="21"/>
        </w:rPr>
      </w:pPr>
      <w:r>
        <w:rPr>
          <w:rFonts w:hint="eastAsia" w:ascii="宋体" w:hAnsi="宋体" w:eastAsia="宋体"/>
          <w:color w:val="auto"/>
          <w:sz w:val="21"/>
          <w:szCs w:val="21"/>
        </w:rPr>
        <w:t>注：</w:t>
      </w:r>
    </w:p>
    <w:p>
      <w:pPr>
        <w:numPr>
          <w:ilvl w:val="0"/>
          <w:numId w:val="11"/>
        </w:numPr>
        <w:rPr>
          <w:rFonts w:ascii="宋体" w:hAnsi="宋体" w:eastAsia="宋体"/>
          <w:color w:val="auto"/>
          <w:sz w:val="21"/>
          <w:szCs w:val="21"/>
        </w:rPr>
      </w:pPr>
      <w:r>
        <w:rPr>
          <w:rFonts w:hint="eastAsia" w:ascii="宋体" w:hAnsi="宋体" w:eastAsia="宋体"/>
          <w:color w:val="auto"/>
          <w:sz w:val="21"/>
          <w:szCs w:val="21"/>
        </w:rPr>
        <w:t>该表格为参考格式，投标人可按实际情况自行制订评分标准索引表。</w:t>
      </w:r>
    </w:p>
    <w:p>
      <w:pPr>
        <w:pStyle w:val="2"/>
        <w:spacing w:before="0"/>
        <w:ind w:left="0"/>
        <w:rPr>
          <w:color w:val="auto"/>
        </w:rPr>
      </w:pPr>
    </w:p>
    <w:p>
      <w:pPr>
        <w:adjustRightInd/>
        <w:snapToGrid/>
        <w:spacing w:line="276" w:lineRule="auto"/>
        <w:rPr>
          <w:rFonts w:ascii="宋体" w:hAnsi="宋体" w:eastAsia="宋体"/>
          <w:color w:val="auto"/>
          <w:sz w:val="21"/>
          <w:szCs w:val="21"/>
        </w:rPr>
      </w:pPr>
    </w:p>
    <w:p>
      <w:pPr>
        <w:adjustRightInd/>
        <w:snapToGrid/>
        <w:spacing w:line="276" w:lineRule="auto"/>
        <w:rPr>
          <w:rFonts w:ascii="宋体" w:hAnsi="宋体" w:eastAsia="宋体"/>
          <w:color w:val="auto"/>
          <w:sz w:val="21"/>
          <w:szCs w:val="21"/>
        </w:rPr>
      </w:pPr>
    </w:p>
    <w:p>
      <w:pPr>
        <w:adjustRightInd/>
        <w:snapToGrid/>
        <w:spacing w:line="276" w:lineRule="auto"/>
        <w:rPr>
          <w:rFonts w:ascii="宋体" w:hAnsi="宋体" w:eastAsia="宋体"/>
          <w:color w:val="auto"/>
          <w:sz w:val="21"/>
          <w:szCs w:val="21"/>
        </w:rPr>
      </w:pPr>
    </w:p>
    <w:p>
      <w:pPr>
        <w:adjustRightInd/>
        <w:snapToGrid/>
        <w:spacing w:line="276" w:lineRule="auto"/>
        <w:rPr>
          <w:rFonts w:ascii="宋体" w:hAnsi="宋体" w:eastAsia="宋体"/>
          <w:color w:val="auto"/>
          <w:sz w:val="21"/>
          <w:szCs w:val="21"/>
        </w:rPr>
      </w:pPr>
    </w:p>
    <w:p>
      <w:pPr>
        <w:adjustRightInd/>
        <w:snapToGrid/>
        <w:spacing w:line="276" w:lineRule="auto"/>
        <w:rPr>
          <w:rFonts w:ascii="宋体" w:hAnsi="宋体" w:eastAsia="宋体"/>
          <w:color w:val="auto"/>
          <w:sz w:val="21"/>
          <w:szCs w:val="21"/>
        </w:rPr>
      </w:pPr>
    </w:p>
    <w:p>
      <w:pPr>
        <w:adjustRightInd/>
        <w:snapToGrid/>
        <w:spacing w:line="276" w:lineRule="auto"/>
        <w:rPr>
          <w:rFonts w:ascii="宋体" w:hAnsi="宋体" w:eastAsia="宋体"/>
          <w:color w:val="auto"/>
          <w:sz w:val="21"/>
          <w:szCs w:val="21"/>
        </w:rPr>
      </w:pPr>
      <w:r>
        <w:rPr>
          <w:rFonts w:ascii="宋体" w:hAnsi="宋体" w:eastAsia="宋体"/>
          <w:color w:val="auto"/>
          <w:sz w:val="21"/>
          <w:szCs w:val="21"/>
        </w:rPr>
        <w:br w:type="page"/>
      </w:r>
    </w:p>
    <w:p>
      <w:pPr>
        <w:pStyle w:val="6"/>
        <w:widowControl w:val="0"/>
        <w:overflowPunct w:val="0"/>
        <w:spacing w:before="0" w:after="0" w:line="240" w:lineRule="auto"/>
        <w:rPr>
          <w:rFonts w:ascii="宋体" w:hAnsi="宋体" w:eastAsia="宋体"/>
          <w:color w:val="auto"/>
          <w:sz w:val="21"/>
          <w:szCs w:val="21"/>
        </w:rPr>
      </w:pPr>
      <w:bookmarkStart w:id="140" w:name="_Toc30640"/>
      <w:r>
        <w:rPr>
          <w:rFonts w:hint="eastAsia" w:ascii="宋体" w:hAnsi="宋体" w:eastAsia="宋体"/>
          <w:color w:val="auto"/>
          <w:sz w:val="21"/>
          <w:szCs w:val="21"/>
        </w:rPr>
        <w:t>附件2.投标书格式</w:t>
      </w:r>
      <w:bookmarkEnd w:id="140"/>
    </w:p>
    <w:p>
      <w:pPr>
        <w:jc w:val="center"/>
        <w:rPr>
          <w:rFonts w:ascii="宋体" w:hAnsi="宋体" w:eastAsia="宋体"/>
          <w:color w:val="auto"/>
          <w:sz w:val="21"/>
          <w:szCs w:val="21"/>
        </w:rPr>
      </w:pPr>
      <w:r>
        <w:rPr>
          <w:rFonts w:hint="eastAsia" w:ascii="黑体" w:eastAsia="黑体"/>
          <w:color w:val="auto"/>
          <w:sz w:val="32"/>
          <w:szCs w:val="32"/>
        </w:rPr>
        <w:t>投标书</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致：广东三方诚信招标有限公司东莞分公司：</w:t>
      </w:r>
    </w:p>
    <w:p>
      <w:pPr>
        <w:spacing w:after="0" w:line="360" w:lineRule="auto"/>
        <w:rPr>
          <w:rFonts w:ascii="宋体" w:hAnsi="宋体" w:eastAsia="宋体"/>
          <w:color w:val="auto"/>
          <w:sz w:val="21"/>
          <w:szCs w:val="21"/>
        </w:rPr>
      </w:pP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根据贵方为</w:t>
      </w:r>
      <w:r>
        <w:rPr>
          <w:rFonts w:hint="eastAsia" w:ascii="宋体" w:hAnsi="宋体" w:eastAsia="宋体"/>
          <w:color w:val="auto"/>
          <w:sz w:val="21"/>
          <w:szCs w:val="21"/>
          <w:u w:val="single"/>
        </w:rPr>
        <w:t>（项目名称）（采购项目编号）</w:t>
      </w:r>
      <w:r>
        <w:rPr>
          <w:rFonts w:hint="eastAsia" w:ascii="宋体" w:hAnsi="宋体" w:eastAsia="宋体"/>
          <w:color w:val="auto"/>
          <w:sz w:val="21"/>
          <w:szCs w:val="21"/>
        </w:rPr>
        <w:t>项目招标公告/招标邀请，签字代表</w:t>
      </w:r>
      <w:r>
        <w:rPr>
          <w:rFonts w:hint="eastAsia" w:ascii="宋体" w:hAnsi="宋体" w:eastAsia="宋体"/>
          <w:color w:val="auto"/>
          <w:sz w:val="21"/>
          <w:szCs w:val="21"/>
          <w:u w:val="single"/>
        </w:rPr>
        <w:t>（姓名、职务）</w:t>
      </w:r>
      <w:r>
        <w:rPr>
          <w:rFonts w:hint="eastAsia" w:ascii="宋体" w:hAnsi="宋体" w:eastAsia="宋体"/>
          <w:color w:val="auto"/>
          <w:sz w:val="21"/>
          <w:szCs w:val="21"/>
        </w:rPr>
        <w:t>经正式授权并代表投标人</w:t>
      </w:r>
      <w:r>
        <w:rPr>
          <w:rFonts w:hint="eastAsia" w:ascii="宋体" w:hAnsi="宋体" w:eastAsia="宋体"/>
          <w:color w:val="auto"/>
          <w:sz w:val="21"/>
          <w:szCs w:val="21"/>
          <w:u w:val="single"/>
        </w:rPr>
        <w:t>（投标人名称、地址）</w:t>
      </w:r>
      <w:r>
        <w:rPr>
          <w:rFonts w:hint="eastAsia" w:ascii="宋体" w:hAnsi="宋体" w:eastAsia="宋体"/>
          <w:color w:val="auto"/>
          <w:sz w:val="21"/>
          <w:szCs w:val="21"/>
        </w:rPr>
        <w:t>提交投标文件及“开标文件”：</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 xml:space="preserve">在此，签字代表宣布同意如下： </w:t>
      </w:r>
    </w:p>
    <w:p>
      <w:pPr>
        <w:widowControl w:val="0"/>
        <w:numPr>
          <w:ilvl w:val="0"/>
          <w:numId w:val="12"/>
        </w:numPr>
        <w:adjustRightInd/>
        <w:snapToGrid/>
        <w:spacing w:after="0" w:line="360" w:lineRule="auto"/>
        <w:jc w:val="both"/>
        <w:rPr>
          <w:rFonts w:ascii="宋体" w:hAnsi="宋体" w:eastAsia="宋体"/>
          <w:color w:val="auto"/>
          <w:sz w:val="21"/>
          <w:szCs w:val="21"/>
        </w:rPr>
      </w:pPr>
      <w:r>
        <w:rPr>
          <w:rFonts w:hint="eastAsia" w:ascii="宋体" w:hAnsi="宋体" w:eastAsia="宋体"/>
          <w:color w:val="auto"/>
          <w:sz w:val="21"/>
          <w:szCs w:val="21"/>
        </w:rPr>
        <w:t xml:space="preserve">我方将按招标文件的规定履行合同责任和义务。 </w:t>
      </w:r>
    </w:p>
    <w:p>
      <w:pPr>
        <w:widowControl w:val="0"/>
        <w:numPr>
          <w:ilvl w:val="0"/>
          <w:numId w:val="12"/>
        </w:numPr>
        <w:adjustRightInd/>
        <w:snapToGrid/>
        <w:spacing w:after="0" w:line="360" w:lineRule="auto"/>
        <w:jc w:val="both"/>
        <w:rPr>
          <w:rFonts w:ascii="宋体" w:hAnsi="宋体" w:eastAsia="宋体"/>
          <w:color w:val="auto"/>
          <w:sz w:val="21"/>
          <w:szCs w:val="21"/>
        </w:rPr>
      </w:pPr>
      <w:r>
        <w:rPr>
          <w:rFonts w:hint="eastAsia" w:ascii="宋体" w:hAnsi="宋体" w:eastAsia="宋体"/>
          <w:b/>
          <w:color w:val="auto"/>
          <w:sz w:val="21"/>
          <w:szCs w:val="21"/>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r>
        <w:rPr>
          <w:rFonts w:hint="eastAsia" w:ascii="宋体" w:hAnsi="宋体" w:eastAsia="宋体"/>
          <w:color w:val="auto"/>
          <w:sz w:val="21"/>
          <w:szCs w:val="21"/>
        </w:rPr>
        <w:t xml:space="preserve"> </w:t>
      </w:r>
    </w:p>
    <w:p>
      <w:pPr>
        <w:widowControl w:val="0"/>
        <w:numPr>
          <w:ilvl w:val="0"/>
          <w:numId w:val="12"/>
        </w:numPr>
        <w:adjustRightInd/>
        <w:snapToGrid/>
        <w:spacing w:after="0" w:line="360" w:lineRule="auto"/>
        <w:jc w:val="both"/>
        <w:rPr>
          <w:rFonts w:ascii="宋体" w:hAnsi="宋体" w:eastAsia="宋体"/>
          <w:color w:val="auto"/>
          <w:sz w:val="21"/>
          <w:szCs w:val="21"/>
        </w:rPr>
      </w:pPr>
      <w:r>
        <w:rPr>
          <w:rFonts w:hint="eastAsia" w:ascii="宋体" w:hAnsi="宋体" w:eastAsia="宋体"/>
          <w:color w:val="auto"/>
          <w:sz w:val="21"/>
          <w:szCs w:val="21"/>
        </w:rPr>
        <w:t>本投标有效期为自开标日起</w:t>
      </w:r>
      <w:r>
        <w:rPr>
          <w:rFonts w:hint="eastAsia" w:ascii="宋体" w:hAnsi="宋体" w:eastAsia="宋体"/>
          <w:color w:val="auto"/>
          <w:sz w:val="21"/>
          <w:szCs w:val="21"/>
          <w:u w:val="single"/>
        </w:rPr>
        <w:t>90</w:t>
      </w:r>
      <w:r>
        <w:rPr>
          <w:rFonts w:hint="eastAsia" w:ascii="宋体" w:hAnsi="宋体" w:eastAsia="宋体"/>
          <w:color w:val="auto"/>
          <w:sz w:val="21"/>
          <w:szCs w:val="21"/>
        </w:rPr>
        <w:t xml:space="preserve">个日历日。 </w:t>
      </w:r>
    </w:p>
    <w:p>
      <w:pPr>
        <w:widowControl w:val="0"/>
        <w:numPr>
          <w:ilvl w:val="0"/>
          <w:numId w:val="12"/>
        </w:numPr>
        <w:adjustRightInd/>
        <w:snapToGrid/>
        <w:spacing w:after="0" w:line="360" w:lineRule="auto"/>
        <w:jc w:val="both"/>
        <w:rPr>
          <w:rFonts w:ascii="宋体" w:hAnsi="宋体" w:eastAsia="宋体"/>
          <w:color w:val="auto"/>
          <w:sz w:val="21"/>
          <w:szCs w:val="21"/>
        </w:rPr>
      </w:pPr>
      <w:r>
        <w:rPr>
          <w:rFonts w:hint="eastAsia" w:ascii="宋体" w:hAnsi="宋体" w:eastAsia="宋体"/>
          <w:color w:val="auto"/>
          <w:sz w:val="21"/>
          <w:szCs w:val="21"/>
        </w:rPr>
        <w:t>我方保证遵守投标人须知中关于没收投标保证金的规定。</w:t>
      </w:r>
    </w:p>
    <w:p>
      <w:pPr>
        <w:widowControl w:val="0"/>
        <w:numPr>
          <w:ilvl w:val="0"/>
          <w:numId w:val="12"/>
        </w:numPr>
        <w:adjustRightInd/>
        <w:snapToGrid/>
        <w:spacing w:after="0" w:line="360" w:lineRule="auto"/>
        <w:jc w:val="both"/>
        <w:rPr>
          <w:rFonts w:ascii="宋体" w:hAnsi="宋体" w:eastAsia="宋体"/>
          <w:color w:val="auto"/>
          <w:sz w:val="21"/>
          <w:szCs w:val="21"/>
        </w:rPr>
      </w:pPr>
      <w:r>
        <w:rPr>
          <w:rFonts w:hint="eastAsia" w:ascii="宋体" w:hAnsi="宋体" w:eastAsia="宋体"/>
          <w:color w:val="auto"/>
          <w:sz w:val="21"/>
          <w:szCs w:val="21"/>
        </w:rPr>
        <w:t xml:space="preserve">我方承诺，与买方聘请的为此项目提供咨询服务的公司及任何附属机构均无关联，我方不是买方的附属机构。 </w:t>
      </w:r>
    </w:p>
    <w:p>
      <w:pPr>
        <w:widowControl w:val="0"/>
        <w:numPr>
          <w:ilvl w:val="0"/>
          <w:numId w:val="12"/>
        </w:numPr>
        <w:adjustRightInd/>
        <w:snapToGrid/>
        <w:spacing w:after="0" w:line="360" w:lineRule="auto"/>
        <w:jc w:val="both"/>
        <w:rPr>
          <w:rFonts w:ascii="宋体" w:hAnsi="宋体" w:eastAsia="宋体"/>
          <w:color w:val="auto"/>
          <w:sz w:val="21"/>
          <w:szCs w:val="21"/>
        </w:rPr>
      </w:pPr>
      <w:r>
        <w:rPr>
          <w:rFonts w:hint="eastAsia" w:ascii="宋体" w:hAnsi="宋体" w:eastAsia="宋体"/>
          <w:color w:val="auto"/>
          <w:sz w:val="21"/>
          <w:szCs w:val="21"/>
        </w:rPr>
        <w:t>我方承诺，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widowControl w:val="0"/>
        <w:numPr>
          <w:ilvl w:val="0"/>
          <w:numId w:val="12"/>
        </w:numPr>
        <w:adjustRightInd/>
        <w:snapToGrid/>
        <w:spacing w:after="0" w:line="360" w:lineRule="auto"/>
        <w:jc w:val="both"/>
        <w:rPr>
          <w:rFonts w:ascii="宋体" w:hAnsi="宋体" w:eastAsia="宋体"/>
          <w:color w:val="auto"/>
          <w:sz w:val="21"/>
          <w:szCs w:val="21"/>
        </w:rPr>
      </w:pPr>
      <w:r>
        <w:rPr>
          <w:rFonts w:hint="eastAsia" w:ascii="宋体" w:hAnsi="宋体" w:eastAsia="宋体"/>
          <w:color w:val="auto"/>
          <w:sz w:val="21"/>
          <w:szCs w:val="21"/>
        </w:rPr>
        <w:t>我方同意提供按照贵方可能要求的与其投标有关的一切数据或资料。</w:t>
      </w:r>
    </w:p>
    <w:p>
      <w:pPr>
        <w:widowControl w:val="0"/>
        <w:numPr>
          <w:ilvl w:val="0"/>
          <w:numId w:val="12"/>
        </w:numPr>
        <w:adjustRightInd/>
        <w:snapToGrid/>
        <w:spacing w:after="0" w:line="360" w:lineRule="auto"/>
        <w:jc w:val="both"/>
        <w:rPr>
          <w:rFonts w:ascii="宋体" w:hAnsi="宋体" w:eastAsia="宋体"/>
          <w:color w:val="auto"/>
          <w:sz w:val="21"/>
          <w:szCs w:val="21"/>
        </w:rPr>
      </w:pPr>
      <w:r>
        <w:rPr>
          <w:rFonts w:hint="eastAsia" w:ascii="宋体" w:hAnsi="宋体" w:eastAsia="宋体"/>
          <w:color w:val="auto"/>
          <w:sz w:val="21"/>
          <w:szCs w:val="21"/>
        </w:rPr>
        <w:t>与本投标有关的一切正式信函请寄：</w:t>
      </w:r>
    </w:p>
    <w:p>
      <w:pPr>
        <w:spacing w:after="0" w:line="360" w:lineRule="auto"/>
        <w:rPr>
          <w:rFonts w:ascii="宋体" w:hAnsi="宋体" w:eastAsia="宋体"/>
          <w:color w:val="auto"/>
          <w:sz w:val="21"/>
          <w:szCs w:val="21"/>
        </w:rPr>
      </w:pPr>
    </w:p>
    <w:p>
      <w:pPr>
        <w:spacing w:after="0" w:line="360" w:lineRule="auto"/>
        <w:rPr>
          <w:rFonts w:ascii="宋体" w:hAnsi="宋体" w:eastAsia="宋体"/>
          <w:color w:val="auto"/>
          <w:sz w:val="21"/>
          <w:szCs w:val="21"/>
        </w:rPr>
      </w:pPr>
      <w:r>
        <w:rPr>
          <w:rFonts w:hint="eastAsia" w:ascii="宋体" w:hAnsi="宋体" w:eastAsia="宋体"/>
          <w:color w:val="auto"/>
          <w:sz w:val="21"/>
          <w:szCs w:val="21"/>
        </w:rPr>
        <w:t>地址：　　　　　　　　　　　　　　　　　　　传真：</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电话/移动电话：　　　　　　　　　　　　　　　电子函件：</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 xml:space="preserve">投标人代表签字： </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 xml:space="preserve">投标人名称（全称）： </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 xml:space="preserve">投标人盖章： </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投标人开户银行（全称）：</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投标人银行帐号：</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日期：</w:t>
      </w:r>
    </w:p>
    <w:p>
      <w:pPr>
        <w:pStyle w:val="6"/>
        <w:widowControl w:val="0"/>
        <w:overflowPunct w:val="0"/>
        <w:spacing w:before="0" w:after="0" w:line="240" w:lineRule="auto"/>
        <w:rPr>
          <w:rFonts w:ascii="宋体" w:hAnsi="宋体" w:eastAsia="宋体"/>
          <w:color w:val="auto"/>
          <w:sz w:val="21"/>
          <w:szCs w:val="21"/>
        </w:rPr>
      </w:pPr>
      <w:bookmarkStart w:id="141" w:name="_Toc6866"/>
      <w:r>
        <w:rPr>
          <w:rFonts w:hint="eastAsia" w:ascii="宋体" w:hAnsi="宋体" w:eastAsia="宋体"/>
          <w:color w:val="auto"/>
          <w:sz w:val="21"/>
          <w:szCs w:val="21"/>
        </w:rPr>
        <w:t>附件3.开标一览表格式</w:t>
      </w:r>
      <w:bookmarkEnd w:id="141"/>
    </w:p>
    <w:p>
      <w:pPr>
        <w:jc w:val="center"/>
        <w:rPr>
          <w:rFonts w:ascii="黑体" w:eastAsia="黑体"/>
          <w:color w:val="auto"/>
          <w:sz w:val="32"/>
          <w:szCs w:val="32"/>
        </w:rPr>
      </w:pPr>
      <w:r>
        <w:rPr>
          <w:rFonts w:hint="eastAsia" w:ascii="黑体" w:eastAsia="黑体"/>
          <w:color w:val="auto"/>
          <w:sz w:val="32"/>
          <w:szCs w:val="32"/>
        </w:rPr>
        <w:t>开标一览表</w:t>
      </w:r>
    </w:p>
    <w:p>
      <w:pPr>
        <w:spacing w:line="360" w:lineRule="auto"/>
        <w:rPr>
          <w:color w:val="auto"/>
        </w:rPr>
      </w:pPr>
    </w:p>
    <w:p>
      <w:pPr>
        <w:spacing w:after="0" w:line="360" w:lineRule="auto"/>
        <w:rPr>
          <w:rFonts w:ascii="宋体" w:hAnsi="宋体" w:eastAsia="宋体"/>
          <w:color w:val="auto"/>
          <w:sz w:val="21"/>
          <w:szCs w:val="21"/>
        </w:rPr>
      </w:pPr>
      <w:r>
        <w:rPr>
          <w:rFonts w:hint="eastAsia" w:ascii="宋体" w:hAnsi="宋体" w:eastAsia="宋体"/>
          <w:color w:val="auto"/>
          <w:sz w:val="21"/>
          <w:szCs w:val="21"/>
        </w:rPr>
        <w:t>投标人名称：</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采购项目编号：</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 </w:t>
      </w:r>
    </w:p>
    <w:tbl>
      <w:tblPr>
        <w:tblStyle w:val="16"/>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714"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rPr>
            </w:pPr>
            <w:r>
              <w:rPr>
                <w:rFonts w:hint="eastAsia" w:ascii="宋体" w:hAnsi="宋体" w:eastAsia="宋体"/>
                <w:color w:val="auto"/>
                <w:sz w:val="21"/>
                <w:szCs w:val="21"/>
              </w:rPr>
              <w:t>项目名称</w:t>
            </w: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rPr>
            </w:pPr>
            <w:r>
              <w:rPr>
                <w:rFonts w:hint="eastAsia" w:ascii="宋体" w:hAnsi="宋体" w:eastAsia="宋体"/>
                <w:color w:val="auto"/>
                <w:sz w:val="21"/>
                <w:szCs w:val="21"/>
              </w:rPr>
              <w:t>投标总价</w:t>
            </w:r>
          </w:p>
        </w:tc>
        <w:tc>
          <w:tcPr>
            <w:tcW w:w="3262"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rPr>
            </w:pPr>
            <w:r>
              <w:rPr>
                <w:rFonts w:hint="eastAsia" w:ascii="宋体" w:hAnsi="宋体" w:eastAsia="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rPr>
            </w:pPr>
            <w:r>
              <w:rPr>
                <w:rFonts w:hint="eastAsia" w:ascii="宋体" w:hAnsi="宋体" w:eastAsia="宋体"/>
                <w:color w:val="auto"/>
                <w:sz w:val="21"/>
                <w:szCs w:val="21"/>
              </w:rPr>
              <w:t>小写：</w:t>
            </w:r>
          </w:p>
        </w:tc>
        <w:tc>
          <w:tcPr>
            <w:tcW w:w="3262" w:type="dxa"/>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rPr>
                <w:color w:val="auto"/>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rPr>
            </w:pPr>
            <w:r>
              <w:rPr>
                <w:rFonts w:hint="eastAsia" w:ascii="宋体" w:hAnsi="宋体" w:eastAsia="宋体"/>
                <w:color w:val="auto"/>
                <w:sz w:val="21"/>
                <w:szCs w:val="21"/>
              </w:rPr>
              <w:t>大写：</w:t>
            </w:r>
          </w:p>
        </w:tc>
        <w:tc>
          <w:tcPr>
            <w:tcW w:w="3262" w:type="dxa"/>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rPr>
            </w:pPr>
          </w:p>
        </w:tc>
      </w:tr>
    </w:tbl>
    <w:p>
      <w:pPr>
        <w:spacing w:after="0" w:line="360" w:lineRule="auto"/>
        <w:rPr>
          <w:rFonts w:ascii="宋体" w:hAnsi="宋体" w:eastAsia="宋体"/>
          <w:color w:val="auto"/>
          <w:sz w:val="21"/>
          <w:szCs w:val="21"/>
        </w:rPr>
      </w:pPr>
    </w:p>
    <w:p>
      <w:pPr>
        <w:spacing w:after="0" w:line="360" w:lineRule="auto"/>
        <w:ind w:firstLine="359" w:firstLineChars="171"/>
        <w:rPr>
          <w:rFonts w:ascii="宋体" w:hAnsi="宋体" w:eastAsia="宋体"/>
          <w:color w:val="auto"/>
          <w:sz w:val="21"/>
          <w:szCs w:val="21"/>
        </w:rPr>
      </w:pPr>
    </w:p>
    <w:p>
      <w:pPr>
        <w:spacing w:after="0" w:line="360" w:lineRule="auto"/>
        <w:ind w:firstLine="359" w:firstLineChars="171"/>
        <w:rPr>
          <w:rFonts w:ascii="宋体" w:hAnsi="宋体" w:eastAsia="宋体"/>
          <w:color w:val="auto"/>
          <w:sz w:val="21"/>
          <w:szCs w:val="21"/>
        </w:rPr>
      </w:pPr>
      <w:r>
        <w:rPr>
          <w:rFonts w:hint="eastAsia" w:ascii="宋体" w:hAnsi="宋体" w:eastAsia="宋体"/>
          <w:color w:val="auto"/>
          <w:sz w:val="21"/>
          <w:szCs w:val="21"/>
        </w:rPr>
        <w:t>投标人代表签字：</w:t>
      </w:r>
    </w:p>
    <w:p>
      <w:pPr>
        <w:spacing w:after="0" w:line="360" w:lineRule="auto"/>
        <w:ind w:firstLine="359" w:firstLineChars="171"/>
        <w:rPr>
          <w:rFonts w:ascii="宋体" w:hAnsi="宋体" w:eastAsia="宋体"/>
          <w:color w:val="auto"/>
          <w:sz w:val="21"/>
          <w:szCs w:val="21"/>
        </w:rPr>
      </w:pPr>
      <w:r>
        <w:rPr>
          <w:rFonts w:hint="eastAsia" w:ascii="宋体" w:hAnsi="宋体" w:eastAsia="宋体"/>
          <w:color w:val="auto"/>
          <w:sz w:val="21"/>
          <w:szCs w:val="21"/>
        </w:rPr>
        <w:t>投标人盖章：</w:t>
      </w:r>
    </w:p>
    <w:p>
      <w:pPr>
        <w:spacing w:after="0" w:line="360" w:lineRule="auto"/>
        <w:ind w:firstLine="359" w:firstLineChars="171"/>
        <w:rPr>
          <w:rFonts w:ascii="宋体" w:hAnsi="宋体" w:eastAsia="宋体"/>
          <w:color w:val="auto"/>
          <w:sz w:val="21"/>
          <w:szCs w:val="21"/>
        </w:rPr>
      </w:pPr>
      <w:r>
        <w:rPr>
          <w:rFonts w:hint="eastAsia" w:ascii="宋体" w:hAnsi="宋体" w:eastAsia="宋体"/>
          <w:color w:val="auto"/>
          <w:sz w:val="21"/>
          <w:szCs w:val="21"/>
        </w:rPr>
        <w:t>日期：</w:t>
      </w:r>
    </w:p>
    <w:p>
      <w:pPr>
        <w:spacing w:after="0" w:line="360" w:lineRule="auto"/>
        <w:ind w:firstLine="359" w:firstLineChars="171"/>
        <w:rPr>
          <w:rFonts w:ascii="宋体" w:hAnsi="宋体" w:eastAsia="宋体"/>
          <w:color w:val="auto"/>
          <w:sz w:val="21"/>
          <w:szCs w:val="21"/>
        </w:rPr>
      </w:pPr>
    </w:p>
    <w:p>
      <w:pPr>
        <w:spacing w:after="0" w:line="360" w:lineRule="auto"/>
        <w:ind w:left="391" w:hanging="390" w:hangingChars="186"/>
        <w:rPr>
          <w:rFonts w:ascii="宋体" w:hAnsi="宋体" w:eastAsia="宋体"/>
          <w:color w:val="auto"/>
          <w:sz w:val="21"/>
          <w:szCs w:val="21"/>
        </w:rPr>
      </w:pPr>
      <w:r>
        <w:rPr>
          <w:rFonts w:hint="eastAsia" w:ascii="宋体" w:hAnsi="宋体" w:eastAsia="宋体"/>
          <w:color w:val="auto"/>
          <w:sz w:val="21"/>
          <w:szCs w:val="21"/>
        </w:rPr>
        <w:t xml:space="preserve">       注：1、投标总价栏须</w:t>
      </w:r>
      <w:r>
        <w:rPr>
          <w:rFonts w:ascii="宋体" w:hAnsi="宋体" w:eastAsia="宋体"/>
          <w:color w:val="auto"/>
          <w:sz w:val="21"/>
          <w:szCs w:val="21"/>
        </w:rPr>
        <w:t>用</w:t>
      </w:r>
      <w:r>
        <w:rPr>
          <w:rFonts w:hint="eastAsia" w:ascii="宋体" w:hAnsi="宋体" w:eastAsia="宋体"/>
          <w:color w:val="auto"/>
          <w:sz w:val="21"/>
          <w:szCs w:val="21"/>
        </w:rPr>
        <w:t>大写金额和小写金额两种方式</w:t>
      </w:r>
      <w:r>
        <w:rPr>
          <w:rFonts w:ascii="宋体" w:hAnsi="宋体" w:eastAsia="宋体"/>
          <w:color w:val="auto"/>
          <w:sz w:val="21"/>
          <w:szCs w:val="21"/>
        </w:rPr>
        <w:t>表示的投标总价</w:t>
      </w:r>
      <w:r>
        <w:rPr>
          <w:rFonts w:hint="eastAsia" w:ascii="宋体" w:hAnsi="宋体" w:eastAsia="宋体"/>
          <w:color w:val="auto"/>
          <w:sz w:val="21"/>
          <w:szCs w:val="21"/>
        </w:rPr>
        <w:t>，报价保留小数点后两位。投标总价大小写不一致，以大写为准。投标总价必须准确唯一且应包含招标文件要求的所有费用。</w:t>
      </w:r>
    </w:p>
    <w:p>
      <w:pPr>
        <w:spacing w:after="0" w:line="360" w:lineRule="auto"/>
        <w:ind w:left="374" w:leftChars="170" w:firstLine="359" w:firstLineChars="171"/>
        <w:rPr>
          <w:rFonts w:ascii="宋体" w:hAnsi="宋体" w:eastAsia="宋体"/>
          <w:color w:val="auto"/>
          <w:sz w:val="21"/>
          <w:szCs w:val="21"/>
        </w:rPr>
      </w:pPr>
      <w:r>
        <w:rPr>
          <w:rFonts w:hint="eastAsia" w:ascii="宋体" w:hAnsi="宋体" w:eastAsia="宋体"/>
          <w:color w:val="auto"/>
          <w:sz w:val="21"/>
          <w:szCs w:val="21"/>
        </w:rPr>
        <w:t>2、此表应按投标人须知的规定密封标记并与《授权委托书》、《投标保证金汇入情况说明》同密封单独提交。</w:t>
      </w:r>
    </w:p>
    <w:p>
      <w:pPr>
        <w:spacing w:after="0" w:line="360" w:lineRule="auto"/>
        <w:ind w:left="374" w:leftChars="170" w:firstLine="359" w:firstLineChars="171"/>
        <w:rPr>
          <w:rFonts w:ascii="宋体" w:hAnsi="宋体" w:eastAsia="宋体"/>
          <w:color w:val="auto"/>
          <w:sz w:val="21"/>
          <w:szCs w:val="21"/>
        </w:rPr>
      </w:pPr>
      <w:r>
        <w:rPr>
          <w:rFonts w:hint="eastAsia" w:ascii="宋体" w:hAnsi="宋体" w:eastAsia="宋体"/>
          <w:color w:val="auto"/>
          <w:sz w:val="21"/>
          <w:szCs w:val="21"/>
        </w:rPr>
        <w:t>3、未按招标文件要求报价、填写开标一览表是导致投标人废标的常见问题，请投标人仔细填写，认真核对。</w:t>
      </w:r>
    </w:p>
    <w:p>
      <w:pPr>
        <w:adjustRightInd/>
        <w:snapToGrid/>
        <w:spacing w:line="276" w:lineRule="auto"/>
        <w:rPr>
          <w:color w:val="auto"/>
        </w:rPr>
      </w:pPr>
    </w:p>
    <w:p>
      <w:pPr>
        <w:adjustRightInd/>
        <w:snapToGrid/>
        <w:spacing w:line="276" w:lineRule="auto"/>
        <w:rPr>
          <w:color w:val="auto"/>
        </w:rPr>
      </w:pPr>
      <w:r>
        <w:rPr>
          <w:color w:val="auto"/>
        </w:rPr>
        <w:br w:type="page"/>
      </w:r>
    </w:p>
    <w:p>
      <w:pPr>
        <w:pStyle w:val="6"/>
        <w:widowControl w:val="0"/>
        <w:overflowPunct w:val="0"/>
        <w:spacing w:before="0" w:after="0" w:line="240" w:lineRule="auto"/>
        <w:rPr>
          <w:rFonts w:ascii="宋体" w:hAnsi="宋体" w:eastAsia="宋体"/>
          <w:color w:val="auto"/>
          <w:sz w:val="21"/>
          <w:szCs w:val="21"/>
        </w:rPr>
      </w:pPr>
      <w:bookmarkStart w:id="142" w:name="_Toc3254"/>
      <w:r>
        <w:rPr>
          <w:rFonts w:hint="eastAsia" w:ascii="宋体" w:hAnsi="宋体" w:eastAsia="宋体"/>
          <w:color w:val="auto"/>
          <w:sz w:val="21"/>
          <w:szCs w:val="21"/>
        </w:rPr>
        <w:t xml:space="preserve">附件4. </w:t>
      </w:r>
      <w:r>
        <w:rPr>
          <w:rFonts w:hint="eastAsia" w:ascii="宋体" w:hAnsi="宋体" w:eastAsia="宋体" w:cs="Times New Roman"/>
          <w:color w:val="auto"/>
          <w:sz w:val="21"/>
          <w:szCs w:val="21"/>
        </w:rPr>
        <w:t>投标分项报价表格式</w:t>
      </w:r>
      <w:bookmarkEnd w:id="142"/>
    </w:p>
    <w:p>
      <w:pPr>
        <w:jc w:val="center"/>
        <w:rPr>
          <w:rFonts w:ascii="黑体" w:eastAsia="黑体"/>
          <w:color w:val="auto"/>
          <w:sz w:val="32"/>
          <w:szCs w:val="32"/>
        </w:rPr>
      </w:pPr>
    </w:p>
    <w:p>
      <w:pPr>
        <w:jc w:val="center"/>
        <w:rPr>
          <w:rFonts w:ascii="黑体" w:eastAsia="黑体"/>
          <w:color w:val="auto"/>
          <w:sz w:val="32"/>
          <w:szCs w:val="32"/>
        </w:rPr>
      </w:pPr>
      <w:r>
        <w:rPr>
          <w:rFonts w:hint="eastAsia" w:ascii="黑体" w:eastAsia="黑体"/>
          <w:color w:val="auto"/>
          <w:sz w:val="32"/>
          <w:szCs w:val="32"/>
        </w:rPr>
        <w:t>货物（服务）分项报价表</w:t>
      </w:r>
      <w:r>
        <w:rPr>
          <w:rFonts w:hint="eastAsia" w:ascii="宋体" w:hAnsi="宋体" w:eastAsia="宋体"/>
          <w:color w:val="auto"/>
          <w:sz w:val="21"/>
          <w:szCs w:val="21"/>
        </w:rPr>
        <w:t xml:space="preserve"> </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序号</w:t>
            </w:r>
          </w:p>
        </w:tc>
        <w:tc>
          <w:tcPr>
            <w:tcW w:w="1377"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货物（服务）名称</w:t>
            </w:r>
          </w:p>
        </w:tc>
        <w:tc>
          <w:tcPr>
            <w:tcW w:w="1917"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规格型号（服务内容）</w:t>
            </w:r>
          </w:p>
        </w:tc>
        <w:tc>
          <w:tcPr>
            <w:tcW w:w="1050"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数量</w:t>
            </w:r>
          </w:p>
        </w:tc>
        <w:tc>
          <w:tcPr>
            <w:tcW w:w="1100"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单价</w:t>
            </w:r>
          </w:p>
        </w:tc>
        <w:tc>
          <w:tcPr>
            <w:tcW w:w="1183"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服务要求</w:t>
            </w:r>
          </w:p>
        </w:tc>
        <w:tc>
          <w:tcPr>
            <w:tcW w:w="1078"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1</w:t>
            </w:r>
          </w:p>
        </w:tc>
        <w:tc>
          <w:tcPr>
            <w:tcW w:w="1377" w:type="dxa"/>
            <w:vAlign w:val="center"/>
          </w:tcPr>
          <w:p>
            <w:pPr>
              <w:spacing w:before="100" w:beforeAutospacing="1" w:after="100" w:afterAutospacing="1"/>
              <w:rPr>
                <w:rFonts w:ascii="宋体" w:hAnsi="宋体" w:eastAsia="宋体"/>
                <w:color w:val="auto"/>
                <w:sz w:val="21"/>
                <w:szCs w:val="21"/>
              </w:rPr>
            </w:pPr>
          </w:p>
        </w:tc>
        <w:tc>
          <w:tcPr>
            <w:tcW w:w="1917" w:type="dxa"/>
            <w:vAlign w:val="center"/>
          </w:tcPr>
          <w:p>
            <w:pPr>
              <w:spacing w:before="100" w:beforeAutospacing="1" w:after="100" w:afterAutospacing="1"/>
              <w:jc w:val="center"/>
              <w:rPr>
                <w:rFonts w:ascii="宋体" w:hAnsi="宋体" w:eastAsia="宋体"/>
                <w:color w:val="auto"/>
                <w:sz w:val="21"/>
                <w:szCs w:val="21"/>
              </w:rPr>
            </w:pPr>
          </w:p>
        </w:tc>
        <w:tc>
          <w:tcPr>
            <w:tcW w:w="1050" w:type="dxa"/>
            <w:vAlign w:val="center"/>
          </w:tcPr>
          <w:p>
            <w:pPr>
              <w:spacing w:before="100" w:beforeAutospacing="1" w:after="100" w:afterAutospacing="1"/>
              <w:jc w:val="center"/>
              <w:rPr>
                <w:rFonts w:ascii="宋体" w:hAnsi="宋体" w:eastAsia="宋体"/>
                <w:color w:val="auto"/>
                <w:sz w:val="21"/>
                <w:szCs w:val="21"/>
              </w:rPr>
            </w:pPr>
          </w:p>
        </w:tc>
        <w:tc>
          <w:tcPr>
            <w:tcW w:w="1100" w:type="dxa"/>
            <w:vAlign w:val="center"/>
          </w:tcPr>
          <w:p>
            <w:pPr>
              <w:spacing w:before="100" w:beforeAutospacing="1" w:after="100" w:afterAutospacing="1"/>
              <w:jc w:val="center"/>
              <w:rPr>
                <w:rFonts w:ascii="宋体" w:hAnsi="宋体" w:eastAsia="宋体"/>
                <w:color w:val="auto"/>
                <w:sz w:val="21"/>
                <w:szCs w:val="21"/>
              </w:rPr>
            </w:pPr>
          </w:p>
        </w:tc>
        <w:tc>
          <w:tcPr>
            <w:tcW w:w="1183" w:type="dxa"/>
            <w:vAlign w:val="center"/>
          </w:tcPr>
          <w:p>
            <w:pPr>
              <w:spacing w:before="100" w:beforeAutospacing="1" w:after="100" w:afterAutospacing="1"/>
              <w:jc w:val="center"/>
              <w:rPr>
                <w:rFonts w:ascii="宋体" w:hAnsi="宋体" w:eastAsia="宋体"/>
                <w:color w:val="auto"/>
                <w:sz w:val="21"/>
                <w:szCs w:val="21"/>
              </w:rPr>
            </w:pPr>
          </w:p>
        </w:tc>
        <w:tc>
          <w:tcPr>
            <w:tcW w:w="1078" w:type="dxa"/>
            <w:vAlign w:val="center"/>
          </w:tcPr>
          <w:p>
            <w:pPr>
              <w:spacing w:before="100" w:beforeAutospacing="1" w:after="100" w:afterAutospacing="1"/>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2</w:t>
            </w:r>
          </w:p>
        </w:tc>
        <w:tc>
          <w:tcPr>
            <w:tcW w:w="1377" w:type="dxa"/>
            <w:vAlign w:val="center"/>
          </w:tcPr>
          <w:p>
            <w:pPr>
              <w:spacing w:before="100" w:beforeAutospacing="1" w:after="100" w:afterAutospacing="1"/>
              <w:rPr>
                <w:rFonts w:ascii="宋体" w:hAnsi="宋体" w:eastAsia="宋体"/>
                <w:color w:val="auto"/>
                <w:sz w:val="21"/>
                <w:szCs w:val="21"/>
              </w:rPr>
            </w:pPr>
          </w:p>
        </w:tc>
        <w:tc>
          <w:tcPr>
            <w:tcW w:w="1917" w:type="dxa"/>
            <w:vAlign w:val="center"/>
          </w:tcPr>
          <w:p>
            <w:pPr>
              <w:spacing w:before="100" w:beforeAutospacing="1" w:after="100" w:afterAutospacing="1"/>
              <w:jc w:val="center"/>
              <w:rPr>
                <w:rFonts w:ascii="宋体" w:hAnsi="宋体" w:eastAsia="宋体"/>
                <w:color w:val="auto"/>
                <w:sz w:val="21"/>
                <w:szCs w:val="21"/>
              </w:rPr>
            </w:pPr>
          </w:p>
        </w:tc>
        <w:tc>
          <w:tcPr>
            <w:tcW w:w="1050" w:type="dxa"/>
            <w:vAlign w:val="center"/>
          </w:tcPr>
          <w:p>
            <w:pPr>
              <w:spacing w:before="100" w:beforeAutospacing="1" w:after="100" w:afterAutospacing="1"/>
              <w:jc w:val="center"/>
              <w:rPr>
                <w:rFonts w:ascii="宋体" w:hAnsi="宋体" w:eastAsia="宋体"/>
                <w:color w:val="auto"/>
                <w:sz w:val="21"/>
                <w:szCs w:val="21"/>
              </w:rPr>
            </w:pPr>
          </w:p>
        </w:tc>
        <w:tc>
          <w:tcPr>
            <w:tcW w:w="1100" w:type="dxa"/>
            <w:vAlign w:val="center"/>
          </w:tcPr>
          <w:p>
            <w:pPr>
              <w:spacing w:before="100" w:beforeAutospacing="1" w:after="100" w:afterAutospacing="1"/>
              <w:jc w:val="center"/>
              <w:rPr>
                <w:rFonts w:ascii="宋体" w:hAnsi="宋体" w:eastAsia="宋体"/>
                <w:color w:val="auto"/>
                <w:sz w:val="21"/>
                <w:szCs w:val="21"/>
              </w:rPr>
            </w:pPr>
          </w:p>
        </w:tc>
        <w:tc>
          <w:tcPr>
            <w:tcW w:w="1183" w:type="dxa"/>
            <w:vAlign w:val="center"/>
          </w:tcPr>
          <w:p>
            <w:pPr>
              <w:spacing w:before="100" w:beforeAutospacing="1" w:after="100" w:afterAutospacing="1"/>
              <w:jc w:val="center"/>
              <w:rPr>
                <w:rFonts w:ascii="宋体" w:hAnsi="宋体" w:eastAsia="宋体"/>
                <w:color w:val="auto"/>
                <w:sz w:val="21"/>
                <w:szCs w:val="21"/>
              </w:rPr>
            </w:pPr>
          </w:p>
        </w:tc>
        <w:tc>
          <w:tcPr>
            <w:tcW w:w="1078" w:type="dxa"/>
            <w:vAlign w:val="center"/>
          </w:tcPr>
          <w:p>
            <w:pPr>
              <w:spacing w:before="100" w:beforeAutospacing="1" w:after="100" w:afterAutospacing="1"/>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3</w:t>
            </w:r>
          </w:p>
        </w:tc>
        <w:tc>
          <w:tcPr>
            <w:tcW w:w="1377" w:type="dxa"/>
            <w:vAlign w:val="center"/>
          </w:tcPr>
          <w:p>
            <w:pPr>
              <w:spacing w:before="100" w:beforeAutospacing="1" w:after="100" w:afterAutospacing="1"/>
              <w:rPr>
                <w:rFonts w:ascii="宋体" w:hAnsi="宋体" w:eastAsia="宋体"/>
                <w:color w:val="auto"/>
                <w:sz w:val="21"/>
                <w:szCs w:val="21"/>
              </w:rPr>
            </w:pPr>
          </w:p>
        </w:tc>
        <w:tc>
          <w:tcPr>
            <w:tcW w:w="1917" w:type="dxa"/>
            <w:vAlign w:val="center"/>
          </w:tcPr>
          <w:p>
            <w:pPr>
              <w:spacing w:before="100" w:beforeAutospacing="1" w:after="100" w:afterAutospacing="1"/>
              <w:jc w:val="center"/>
              <w:rPr>
                <w:rFonts w:ascii="宋体" w:hAnsi="宋体" w:eastAsia="宋体"/>
                <w:color w:val="auto"/>
                <w:sz w:val="21"/>
                <w:szCs w:val="21"/>
              </w:rPr>
            </w:pPr>
          </w:p>
        </w:tc>
        <w:tc>
          <w:tcPr>
            <w:tcW w:w="1050" w:type="dxa"/>
            <w:vAlign w:val="center"/>
          </w:tcPr>
          <w:p>
            <w:pPr>
              <w:spacing w:before="100" w:beforeAutospacing="1" w:after="100" w:afterAutospacing="1"/>
              <w:jc w:val="center"/>
              <w:rPr>
                <w:rFonts w:ascii="宋体" w:hAnsi="宋体" w:eastAsia="宋体"/>
                <w:color w:val="auto"/>
                <w:sz w:val="21"/>
                <w:szCs w:val="21"/>
              </w:rPr>
            </w:pPr>
          </w:p>
        </w:tc>
        <w:tc>
          <w:tcPr>
            <w:tcW w:w="1100" w:type="dxa"/>
            <w:vAlign w:val="center"/>
          </w:tcPr>
          <w:p>
            <w:pPr>
              <w:spacing w:before="100" w:beforeAutospacing="1" w:after="100" w:afterAutospacing="1"/>
              <w:jc w:val="center"/>
              <w:rPr>
                <w:rFonts w:ascii="宋体" w:hAnsi="宋体" w:eastAsia="宋体"/>
                <w:color w:val="auto"/>
                <w:sz w:val="21"/>
                <w:szCs w:val="21"/>
              </w:rPr>
            </w:pPr>
          </w:p>
        </w:tc>
        <w:tc>
          <w:tcPr>
            <w:tcW w:w="1183" w:type="dxa"/>
            <w:vAlign w:val="center"/>
          </w:tcPr>
          <w:p>
            <w:pPr>
              <w:spacing w:before="100" w:beforeAutospacing="1" w:after="100" w:afterAutospacing="1"/>
              <w:jc w:val="center"/>
              <w:rPr>
                <w:rFonts w:ascii="宋体" w:hAnsi="宋体" w:eastAsia="宋体"/>
                <w:color w:val="auto"/>
                <w:sz w:val="21"/>
                <w:szCs w:val="21"/>
              </w:rPr>
            </w:pPr>
          </w:p>
        </w:tc>
        <w:tc>
          <w:tcPr>
            <w:tcW w:w="1078" w:type="dxa"/>
            <w:vAlign w:val="center"/>
          </w:tcPr>
          <w:p>
            <w:pPr>
              <w:spacing w:before="100" w:beforeAutospacing="1" w:after="100" w:afterAutospacing="1"/>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总价</w:t>
            </w:r>
          </w:p>
        </w:tc>
        <w:tc>
          <w:tcPr>
            <w:tcW w:w="2261" w:type="dxa"/>
            <w:gridSpan w:val="2"/>
            <w:vAlign w:val="center"/>
          </w:tcPr>
          <w:p>
            <w:pPr>
              <w:spacing w:before="100" w:beforeAutospacing="1" w:after="100" w:afterAutospacing="1"/>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spacing w:after="0"/>
              <w:rPr>
                <w:rFonts w:ascii="宋体" w:hAnsi="宋体" w:eastAsia="宋体"/>
                <w:color w:val="auto"/>
                <w:sz w:val="21"/>
                <w:szCs w:val="21"/>
              </w:rPr>
            </w:pPr>
            <w:r>
              <w:rPr>
                <w:rFonts w:hint="eastAsia" w:ascii="宋体" w:hAnsi="宋体" w:eastAsia="宋体"/>
                <w:color w:val="auto"/>
                <w:sz w:val="21"/>
                <w:szCs w:val="21"/>
              </w:rPr>
              <w:t>投标人代表签字：</w:t>
            </w:r>
          </w:p>
          <w:p>
            <w:pPr>
              <w:spacing w:after="0"/>
              <w:rPr>
                <w:rFonts w:ascii="宋体" w:hAnsi="宋体" w:eastAsia="宋体"/>
                <w:color w:val="auto"/>
                <w:sz w:val="21"/>
                <w:szCs w:val="21"/>
              </w:rPr>
            </w:pPr>
            <w:r>
              <w:rPr>
                <w:rFonts w:hint="eastAsia" w:ascii="宋体" w:hAnsi="宋体" w:eastAsia="宋体"/>
                <w:color w:val="auto"/>
                <w:sz w:val="21"/>
                <w:szCs w:val="21"/>
              </w:rPr>
              <w:t>投标人盖章：</w:t>
            </w:r>
          </w:p>
          <w:p>
            <w:pPr>
              <w:spacing w:after="0"/>
              <w:rPr>
                <w:rFonts w:ascii="宋体" w:hAnsi="宋体" w:eastAsia="宋体"/>
                <w:color w:val="auto"/>
                <w:sz w:val="21"/>
                <w:szCs w:val="21"/>
              </w:rPr>
            </w:pPr>
            <w:r>
              <w:rPr>
                <w:rFonts w:hint="eastAsia" w:ascii="宋体" w:hAnsi="宋体" w:eastAsia="宋体"/>
                <w:color w:val="auto"/>
                <w:sz w:val="21"/>
                <w:szCs w:val="21"/>
              </w:rPr>
              <w:t>日期：</w:t>
            </w:r>
          </w:p>
        </w:tc>
      </w:tr>
    </w:tbl>
    <w:p>
      <w:pPr>
        <w:rPr>
          <w:rFonts w:ascii="宋体" w:hAnsi="宋体" w:eastAsia="宋体" w:cs="宋体"/>
          <w:b/>
          <w:color w:val="auto"/>
          <w:sz w:val="21"/>
          <w:szCs w:val="21"/>
        </w:rPr>
      </w:pPr>
    </w:p>
    <w:p>
      <w:pPr>
        <w:rPr>
          <w:rFonts w:ascii="宋体" w:hAnsi="宋体" w:eastAsia="宋体" w:cs="宋体"/>
          <w:b/>
          <w:color w:val="auto"/>
          <w:sz w:val="21"/>
          <w:szCs w:val="21"/>
        </w:rPr>
      </w:pPr>
      <w:r>
        <w:rPr>
          <w:rFonts w:hint="eastAsia" w:ascii="宋体" w:hAnsi="宋体" w:eastAsia="宋体" w:cs="宋体"/>
          <w:b/>
          <w:color w:val="auto"/>
          <w:sz w:val="21"/>
          <w:szCs w:val="21"/>
        </w:rPr>
        <w:br w:type="page"/>
      </w:r>
    </w:p>
    <w:p>
      <w:pPr>
        <w:jc w:val="center"/>
        <w:rPr>
          <w:rFonts w:ascii="黑体" w:eastAsia="黑体"/>
          <w:color w:val="auto"/>
          <w:sz w:val="32"/>
          <w:szCs w:val="32"/>
        </w:rPr>
      </w:pPr>
    </w:p>
    <w:p>
      <w:pPr>
        <w:jc w:val="center"/>
        <w:rPr>
          <w:rFonts w:ascii="黑体" w:eastAsia="黑体"/>
          <w:color w:val="auto"/>
          <w:sz w:val="32"/>
          <w:szCs w:val="32"/>
        </w:rPr>
      </w:pPr>
      <w:r>
        <w:rPr>
          <w:rFonts w:hint="eastAsia" w:ascii="黑体" w:eastAsia="黑体"/>
          <w:color w:val="auto"/>
          <w:sz w:val="32"/>
          <w:szCs w:val="32"/>
        </w:rPr>
        <w:t>小型和微型企业（货物、承担的工程或者服务）列价表</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1587"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货物名称</w:t>
            </w:r>
          </w:p>
        </w:tc>
        <w:tc>
          <w:tcPr>
            <w:tcW w:w="1575" w:type="dxa"/>
            <w:vAlign w:val="center"/>
          </w:tcPr>
          <w:p>
            <w:pPr>
              <w:spacing w:after="0"/>
              <w:ind w:hanging="148"/>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品牌及原产地</w:t>
            </w:r>
          </w:p>
        </w:tc>
        <w:tc>
          <w:tcPr>
            <w:tcW w:w="1180"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规格型号</w:t>
            </w:r>
          </w:p>
        </w:tc>
        <w:tc>
          <w:tcPr>
            <w:tcW w:w="778"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数量</w:t>
            </w:r>
          </w:p>
        </w:tc>
        <w:tc>
          <w:tcPr>
            <w:tcW w:w="777"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单价</w:t>
            </w:r>
          </w:p>
        </w:tc>
        <w:tc>
          <w:tcPr>
            <w:tcW w:w="778"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总价</w:t>
            </w:r>
          </w:p>
        </w:tc>
        <w:tc>
          <w:tcPr>
            <w:tcW w:w="972"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1</w:t>
            </w:r>
          </w:p>
        </w:tc>
        <w:tc>
          <w:tcPr>
            <w:tcW w:w="1587" w:type="dxa"/>
            <w:vAlign w:val="center"/>
          </w:tcPr>
          <w:p>
            <w:pPr>
              <w:spacing w:after="0"/>
              <w:jc w:val="center"/>
              <w:textAlignment w:val="bottom"/>
              <w:rPr>
                <w:rFonts w:ascii="宋体" w:hAnsi="宋体" w:eastAsia="宋体" w:cs="宋体"/>
                <w:color w:val="auto"/>
                <w:sz w:val="21"/>
                <w:szCs w:val="21"/>
              </w:rPr>
            </w:pPr>
          </w:p>
        </w:tc>
        <w:tc>
          <w:tcPr>
            <w:tcW w:w="1575" w:type="dxa"/>
            <w:vAlign w:val="center"/>
          </w:tcPr>
          <w:p>
            <w:pPr>
              <w:spacing w:after="0"/>
              <w:jc w:val="center"/>
              <w:textAlignment w:val="bottom"/>
              <w:rPr>
                <w:rFonts w:ascii="宋体" w:hAnsi="宋体" w:eastAsia="宋体" w:cs="宋体"/>
                <w:color w:val="auto"/>
                <w:sz w:val="21"/>
                <w:szCs w:val="21"/>
              </w:rPr>
            </w:pPr>
          </w:p>
        </w:tc>
        <w:tc>
          <w:tcPr>
            <w:tcW w:w="1180" w:type="dxa"/>
            <w:vAlign w:val="center"/>
          </w:tcPr>
          <w:p>
            <w:pPr>
              <w:spacing w:after="0"/>
              <w:jc w:val="center"/>
              <w:textAlignment w:val="bottom"/>
              <w:rPr>
                <w:rFonts w:ascii="宋体" w:hAnsi="宋体" w:eastAsia="宋体" w:cs="宋体"/>
                <w:color w:val="auto"/>
                <w:sz w:val="21"/>
                <w:szCs w:val="21"/>
              </w:rPr>
            </w:pPr>
          </w:p>
        </w:tc>
        <w:tc>
          <w:tcPr>
            <w:tcW w:w="778" w:type="dxa"/>
            <w:vAlign w:val="center"/>
          </w:tcPr>
          <w:p>
            <w:pPr>
              <w:spacing w:after="0"/>
              <w:jc w:val="center"/>
              <w:textAlignment w:val="bottom"/>
              <w:rPr>
                <w:rFonts w:ascii="宋体" w:hAnsi="宋体" w:eastAsia="宋体" w:cs="宋体"/>
                <w:color w:val="auto"/>
                <w:sz w:val="21"/>
                <w:szCs w:val="21"/>
              </w:rPr>
            </w:pPr>
          </w:p>
        </w:tc>
        <w:tc>
          <w:tcPr>
            <w:tcW w:w="777" w:type="dxa"/>
            <w:vAlign w:val="center"/>
          </w:tcPr>
          <w:p>
            <w:pPr>
              <w:spacing w:after="0"/>
              <w:jc w:val="center"/>
              <w:textAlignment w:val="bottom"/>
              <w:rPr>
                <w:rFonts w:ascii="宋体" w:hAnsi="宋体" w:eastAsia="宋体" w:cs="宋体"/>
                <w:color w:val="auto"/>
                <w:sz w:val="21"/>
                <w:szCs w:val="21"/>
              </w:rPr>
            </w:pPr>
          </w:p>
        </w:tc>
        <w:tc>
          <w:tcPr>
            <w:tcW w:w="778" w:type="dxa"/>
            <w:vAlign w:val="center"/>
          </w:tcPr>
          <w:p>
            <w:pPr>
              <w:spacing w:after="0"/>
              <w:jc w:val="center"/>
              <w:textAlignment w:val="bottom"/>
              <w:rPr>
                <w:rFonts w:ascii="宋体" w:hAnsi="宋体" w:eastAsia="宋体" w:cs="宋体"/>
                <w:color w:val="auto"/>
                <w:sz w:val="21"/>
                <w:szCs w:val="21"/>
              </w:rPr>
            </w:pPr>
          </w:p>
        </w:tc>
        <w:tc>
          <w:tcPr>
            <w:tcW w:w="972" w:type="dxa"/>
            <w:vAlign w:val="center"/>
          </w:tcPr>
          <w:p>
            <w:pPr>
              <w:spacing w:after="0"/>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2</w:t>
            </w:r>
          </w:p>
        </w:tc>
        <w:tc>
          <w:tcPr>
            <w:tcW w:w="1587" w:type="dxa"/>
            <w:vAlign w:val="center"/>
          </w:tcPr>
          <w:p>
            <w:pPr>
              <w:spacing w:after="0"/>
              <w:jc w:val="center"/>
              <w:textAlignment w:val="bottom"/>
              <w:rPr>
                <w:rFonts w:ascii="宋体" w:hAnsi="宋体" w:eastAsia="宋体" w:cs="宋体"/>
                <w:color w:val="auto"/>
                <w:sz w:val="21"/>
                <w:szCs w:val="21"/>
              </w:rPr>
            </w:pPr>
          </w:p>
        </w:tc>
        <w:tc>
          <w:tcPr>
            <w:tcW w:w="1575" w:type="dxa"/>
            <w:vAlign w:val="center"/>
          </w:tcPr>
          <w:p>
            <w:pPr>
              <w:spacing w:after="0"/>
              <w:jc w:val="center"/>
              <w:textAlignment w:val="bottom"/>
              <w:rPr>
                <w:rFonts w:ascii="宋体" w:hAnsi="宋体" w:eastAsia="宋体" w:cs="宋体"/>
                <w:color w:val="auto"/>
                <w:sz w:val="21"/>
                <w:szCs w:val="21"/>
              </w:rPr>
            </w:pPr>
          </w:p>
        </w:tc>
        <w:tc>
          <w:tcPr>
            <w:tcW w:w="1180" w:type="dxa"/>
            <w:vAlign w:val="center"/>
          </w:tcPr>
          <w:p>
            <w:pPr>
              <w:spacing w:after="0"/>
              <w:jc w:val="center"/>
              <w:textAlignment w:val="bottom"/>
              <w:rPr>
                <w:rFonts w:ascii="宋体" w:hAnsi="宋体" w:eastAsia="宋体" w:cs="宋体"/>
                <w:color w:val="auto"/>
                <w:sz w:val="21"/>
                <w:szCs w:val="21"/>
              </w:rPr>
            </w:pPr>
          </w:p>
        </w:tc>
        <w:tc>
          <w:tcPr>
            <w:tcW w:w="778" w:type="dxa"/>
            <w:vAlign w:val="center"/>
          </w:tcPr>
          <w:p>
            <w:pPr>
              <w:spacing w:after="0"/>
              <w:jc w:val="center"/>
              <w:textAlignment w:val="bottom"/>
              <w:rPr>
                <w:rFonts w:ascii="宋体" w:hAnsi="宋体" w:eastAsia="宋体" w:cs="宋体"/>
                <w:color w:val="auto"/>
                <w:sz w:val="21"/>
                <w:szCs w:val="21"/>
              </w:rPr>
            </w:pPr>
          </w:p>
        </w:tc>
        <w:tc>
          <w:tcPr>
            <w:tcW w:w="777" w:type="dxa"/>
            <w:vAlign w:val="center"/>
          </w:tcPr>
          <w:p>
            <w:pPr>
              <w:spacing w:after="0"/>
              <w:jc w:val="center"/>
              <w:textAlignment w:val="bottom"/>
              <w:rPr>
                <w:rFonts w:ascii="宋体" w:hAnsi="宋体" w:eastAsia="宋体" w:cs="宋体"/>
                <w:color w:val="auto"/>
                <w:sz w:val="21"/>
                <w:szCs w:val="21"/>
              </w:rPr>
            </w:pPr>
          </w:p>
        </w:tc>
        <w:tc>
          <w:tcPr>
            <w:tcW w:w="778" w:type="dxa"/>
            <w:vAlign w:val="center"/>
          </w:tcPr>
          <w:p>
            <w:pPr>
              <w:spacing w:after="0"/>
              <w:jc w:val="center"/>
              <w:textAlignment w:val="bottom"/>
              <w:rPr>
                <w:rFonts w:ascii="宋体" w:hAnsi="宋体" w:eastAsia="宋体" w:cs="宋体"/>
                <w:color w:val="auto"/>
                <w:sz w:val="21"/>
                <w:szCs w:val="21"/>
              </w:rPr>
            </w:pPr>
          </w:p>
        </w:tc>
        <w:tc>
          <w:tcPr>
            <w:tcW w:w="972" w:type="dxa"/>
            <w:vAlign w:val="center"/>
          </w:tcPr>
          <w:p>
            <w:pPr>
              <w:spacing w:after="0"/>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3</w:t>
            </w:r>
          </w:p>
        </w:tc>
        <w:tc>
          <w:tcPr>
            <w:tcW w:w="1587" w:type="dxa"/>
            <w:vAlign w:val="center"/>
          </w:tcPr>
          <w:p>
            <w:pPr>
              <w:spacing w:after="0"/>
              <w:jc w:val="center"/>
              <w:textAlignment w:val="bottom"/>
              <w:rPr>
                <w:rFonts w:ascii="宋体" w:hAnsi="宋体" w:eastAsia="宋体" w:cs="宋体"/>
                <w:color w:val="auto"/>
                <w:sz w:val="21"/>
                <w:szCs w:val="21"/>
              </w:rPr>
            </w:pPr>
          </w:p>
        </w:tc>
        <w:tc>
          <w:tcPr>
            <w:tcW w:w="1575" w:type="dxa"/>
            <w:vAlign w:val="center"/>
          </w:tcPr>
          <w:p>
            <w:pPr>
              <w:spacing w:after="0"/>
              <w:jc w:val="center"/>
              <w:textAlignment w:val="bottom"/>
              <w:rPr>
                <w:rFonts w:ascii="宋体" w:hAnsi="宋体" w:eastAsia="宋体" w:cs="宋体"/>
                <w:color w:val="auto"/>
                <w:sz w:val="21"/>
                <w:szCs w:val="21"/>
              </w:rPr>
            </w:pPr>
          </w:p>
        </w:tc>
        <w:tc>
          <w:tcPr>
            <w:tcW w:w="1180" w:type="dxa"/>
            <w:vAlign w:val="center"/>
          </w:tcPr>
          <w:p>
            <w:pPr>
              <w:spacing w:after="0"/>
              <w:jc w:val="center"/>
              <w:textAlignment w:val="bottom"/>
              <w:rPr>
                <w:rFonts w:ascii="宋体" w:hAnsi="宋体" w:eastAsia="宋体" w:cs="宋体"/>
                <w:color w:val="auto"/>
                <w:sz w:val="21"/>
                <w:szCs w:val="21"/>
              </w:rPr>
            </w:pPr>
          </w:p>
        </w:tc>
        <w:tc>
          <w:tcPr>
            <w:tcW w:w="778" w:type="dxa"/>
            <w:vAlign w:val="center"/>
          </w:tcPr>
          <w:p>
            <w:pPr>
              <w:spacing w:after="0"/>
              <w:jc w:val="center"/>
              <w:textAlignment w:val="bottom"/>
              <w:rPr>
                <w:rFonts w:ascii="宋体" w:hAnsi="宋体" w:eastAsia="宋体" w:cs="宋体"/>
                <w:color w:val="auto"/>
                <w:sz w:val="21"/>
                <w:szCs w:val="21"/>
              </w:rPr>
            </w:pPr>
          </w:p>
        </w:tc>
        <w:tc>
          <w:tcPr>
            <w:tcW w:w="777" w:type="dxa"/>
            <w:vAlign w:val="center"/>
          </w:tcPr>
          <w:p>
            <w:pPr>
              <w:spacing w:after="0"/>
              <w:jc w:val="center"/>
              <w:textAlignment w:val="bottom"/>
              <w:rPr>
                <w:rFonts w:ascii="宋体" w:hAnsi="宋体" w:eastAsia="宋体" w:cs="宋体"/>
                <w:color w:val="auto"/>
                <w:sz w:val="21"/>
                <w:szCs w:val="21"/>
              </w:rPr>
            </w:pPr>
          </w:p>
        </w:tc>
        <w:tc>
          <w:tcPr>
            <w:tcW w:w="778" w:type="dxa"/>
            <w:vAlign w:val="center"/>
          </w:tcPr>
          <w:p>
            <w:pPr>
              <w:spacing w:after="0"/>
              <w:jc w:val="center"/>
              <w:textAlignment w:val="bottom"/>
              <w:rPr>
                <w:rFonts w:ascii="宋体" w:hAnsi="宋体" w:eastAsia="宋体" w:cs="宋体"/>
                <w:color w:val="auto"/>
                <w:sz w:val="21"/>
                <w:szCs w:val="21"/>
              </w:rPr>
            </w:pPr>
          </w:p>
        </w:tc>
        <w:tc>
          <w:tcPr>
            <w:tcW w:w="972" w:type="dxa"/>
            <w:vAlign w:val="center"/>
          </w:tcPr>
          <w:p>
            <w:pPr>
              <w:spacing w:after="0"/>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w:t>
            </w:r>
          </w:p>
        </w:tc>
        <w:tc>
          <w:tcPr>
            <w:tcW w:w="1587" w:type="dxa"/>
            <w:vAlign w:val="center"/>
          </w:tcPr>
          <w:p>
            <w:pPr>
              <w:spacing w:after="0"/>
              <w:jc w:val="center"/>
              <w:textAlignment w:val="bottom"/>
              <w:rPr>
                <w:rFonts w:ascii="宋体" w:hAnsi="宋体" w:eastAsia="宋体" w:cs="宋体"/>
                <w:color w:val="auto"/>
                <w:sz w:val="21"/>
                <w:szCs w:val="21"/>
              </w:rPr>
            </w:pPr>
          </w:p>
        </w:tc>
        <w:tc>
          <w:tcPr>
            <w:tcW w:w="1575" w:type="dxa"/>
            <w:vAlign w:val="center"/>
          </w:tcPr>
          <w:p>
            <w:pPr>
              <w:spacing w:after="0"/>
              <w:jc w:val="center"/>
              <w:textAlignment w:val="bottom"/>
              <w:rPr>
                <w:rFonts w:ascii="宋体" w:hAnsi="宋体" w:eastAsia="宋体" w:cs="宋体"/>
                <w:color w:val="auto"/>
                <w:sz w:val="21"/>
                <w:szCs w:val="21"/>
              </w:rPr>
            </w:pPr>
          </w:p>
        </w:tc>
        <w:tc>
          <w:tcPr>
            <w:tcW w:w="1180" w:type="dxa"/>
            <w:vAlign w:val="center"/>
          </w:tcPr>
          <w:p>
            <w:pPr>
              <w:spacing w:after="0"/>
              <w:jc w:val="center"/>
              <w:textAlignment w:val="bottom"/>
              <w:rPr>
                <w:rFonts w:ascii="宋体" w:hAnsi="宋体" w:eastAsia="宋体" w:cs="宋体"/>
                <w:color w:val="auto"/>
                <w:sz w:val="21"/>
                <w:szCs w:val="21"/>
              </w:rPr>
            </w:pPr>
          </w:p>
        </w:tc>
        <w:tc>
          <w:tcPr>
            <w:tcW w:w="778" w:type="dxa"/>
            <w:vAlign w:val="center"/>
          </w:tcPr>
          <w:p>
            <w:pPr>
              <w:spacing w:after="0"/>
              <w:jc w:val="center"/>
              <w:textAlignment w:val="bottom"/>
              <w:rPr>
                <w:rFonts w:ascii="宋体" w:hAnsi="宋体" w:eastAsia="宋体" w:cs="宋体"/>
                <w:color w:val="auto"/>
                <w:sz w:val="21"/>
                <w:szCs w:val="21"/>
              </w:rPr>
            </w:pPr>
          </w:p>
        </w:tc>
        <w:tc>
          <w:tcPr>
            <w:tcW w:w="777" w:type="dxa"/>
            <w:vAlign w:val="center"/>
          </w:tcPr>
          <w:p>
            <w:pPr>
              <w:spacing w:after="0"/>
              <w:jc w:val="center"/>
              <w:textAlignment w:val="bottom"/>
              <w:rPr>
                <w:rFonts w:ascii="宋体" w:hAnsi="宋体" w:eastAsia="宋体" w:cs="宋体"/>
                <w:color w:val="auto"/>
                <w:sz w:val="21"/>
                <w:szCs w:val="21"/>
              </w:rPr>
            </w:pPr>
          </w:p>
        </w:tc>
        <w:tc>
          <w:tcPr>
            <w:tcW w:w="778" w:type="dxa"/>
            <w:vAlign w:val="center"/>
          </w:tcPr>
          <w:p>
            <w:pPr>
              <w:spacing w:after="0"/>
              <w:jc w:val="center"/>
              <w:textAlignment w:val="bottom"/>
              <w:rPr>
                <w:rFonts w:ascii="宋体" w:hAnsi="宋体" w:eastAsia="宋体" w:cs="宋体"/>
                <w:color w:val="auto"/>
                <w:sz w:val="21"/>
                <w:szCs w:val="21"/>
              </w:rPr>
            </w:pPr>
          </w:p>
        </w:tc>
        <w:tc>
          <w:tcPr>
            <w:tcW w:w="972" w:type="dxa"/>
            <w:vAlign w:val="center"/>
          </w:tcPr>
          <w:p>
            <w:pPr>
              <w:spacing w:after="0"/>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462" w:type="dxa"/>
            <w:gridSpan w:val="2"/>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总计</w:t>
            </w:r>
          </w:p>
        </w:tc>
        <w:tc>
          <w:tcPr>
            <w:tcW w:w="6060" w:type="dxa"/>
            <w:gridSpan w:val="6"/>
            <w:vAlign w:val="center"/>
          </w:tcPr>
          <w:p>
            <w:pPr>
              <w:spacing w:after="0"/>
              <w:rPr>
                <w:rFonts w:ascii="宋体" w:hAnsi="宋体" w:eastAsia="宋体" w:cs="宋体"/>
                <w:color w:val="auto"/>
                <w:sz w:val="21"/>
                <w:szCs w:val="21"/>
              </w:rPr>
            </w:pPr>
            <w:r>
              <w:rPr>
                <w:rStyle w:val="34"/>
                <w:rFonts w:hint="eastAsia" w:ascii="宋体" w:hAnsi="宋体" w:eastAsia="宋体" w:cs="宋体"/>
                <w:color w:val="auto"/>
                <w:sz w:val="21"/>
                <w:szCs w:val="21"/>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spacing w:after="0"/>
              <w:rPr>
                <w:rStyle w:val="34"/>
                <w:rFonts w:ascii="宋体" w:hAnsi="宋体" w:eastAsia="宋体" w:cs="宋体"/>
                <w:b/>
                <w:color w:val="auto"/>
                <w:sz w:val="21"/>
                <w:szCs w:val="21"/>
              </w:rPr>
            </w:pPr>
            <w:r>
              <w:rPr>
                <w:rStyle w:val="34"/>
                <w:rFonts w:hint="eastAsia" w:ascii="宋体" w:hAnsi="宋体" w:eastAsia="宋体" w:cs="宋体"/>
                <w:b/>
                <w:color w:val="auto"/>
                <w:sz w:val="21"/>
                <w:szCs w:val="21"/>
              </w:rPr>
              <w:t>注：1、投标人在“货物（服务）分项报价表”中的报价内容中，如有属于</w:t>
            </w:r>
            <w:r>
              <w:rPr>
                <w:rFonts w:hint="eastAsia" w:ascii="宋体" w:hAnsi="宋体" w:eastAsia="宋体" w:cs="宋体"/>
                <w:b/>
                <w:color w:val="auto"/>
                <w:sz w:val="21"/>
                <w:szCs w:val="21"/>
              </w:rPr>
              <w:t>小型和微型企业产品（货物、承担的工程或者服务）的，必须在此表单独列明，否则在计算价格得分时不予以相应的扣除</w:t>
            </w:r>
            <w:r>
              <w:rPr>
                <w:rStyle w:val="34"/>
                <w:rFonts w:hint="eastAsia" w:ascii="宋体" w:hAnsi="宋体" w:eastAsia="宋体" w:cs="宋体"/>
                <w:b/>
                <w:color w:val="auto"/>
                <w:sz w:val="21"/>
                <w:szCs w:val="21"/>
              </w:rPr>
              <w:t>；</w:t>
            </w:r>
          </w:p>
          <w:p>
            <w:pPr>
              <w:tabs>
                <w:tab w:val="left" w:pos="284"/>
              </w:tabs>
              <w:spacing w:after="0"/>
              <w:rPr>
                <w:rStyle w:val="34"/>
                <w:rFonts w:ascii="宋体" w:hAnsi="宋体" w:eastAsia="宋体" w:cs="宋体"/>
                <w:b/>
                <w:color w:val="auto"/>
                <w:sz w:val="21"/>
                <w:szCs w:val="21"/>
              </w:rPr>
            </w:pPr>
            <w:r>
              <w:rPr>
                <w:rStyle w:val="34"/>
                <w:rFonts w:hint="eastAsia" w:ascii="宋体" w:hAnsi="宋体" w:eastAsia="宋体" w:cs="宋体"/>
                <w:b/>
                <w:color w:val="auto"/>
                <w:sz w:val="21"/>
                <w:szCs w:val="21"/>
              </w:rPr>
              <w:t>2、投标人应该如实填写，如投标人所投产品中无小型和微型企业产品的，请留空或删除此表！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rPr>
            </w:pPr>
            <w:r>
              <w:rPr>
                <w:rFonts w:hint="eastAsia" w:ascii="宋体" w:hAnsi="宋体" w:eastAsia="宋体"/>
                <w:color w:val="auto"/>
                <w:sz w:val="21"/>
                <w:szCs w:val="21"/>
              </w:rPr>
              <w:t>投标人代表签字：</w:t>
            </w:r>
          </w:p>
          <w:p>
            <w:pPr>
              <w:spacing w:after="0"/>
              <w:rPr>
                <w:rFonts w:ascii="宋体" w:hAnsi="宋体" w:eastAsia="宋体"/>
                <w:color w:val="auto"/>
                <w:sz w:val="21"/>
                <w:szCs w:val="21"/>
              </w:rPr>
            </w:pPr>
            <w:r>
              <w:rPr>
                <w:rFonts w:hint="eastAsia" w:ascii="宋体" w:hAnsi="宋体" w:eastAsia="宋体"/>
                <w:color w:val="auto"/>
                <w:sz w:val="21"/>
                <w:szCs w:val="21"/>
              </w:rPr>
              <w:t>投标人盖章：</w:t>
            </w:r>
          </w:p>
          <w:p>
            <w:pPr>
              <w:tabs>
                <w:tab w:val="left" w:pos="284"/>
              </w:tabs>
              <w:spacing w:after="0"/>
              <w:rPr>
                <w:rStyle w:val="34"/>
                <w:rFonts w:ascii="宋体" w:hAnsi="宋体" w:eastAsia="宋体" w:cs="宋体"/>
                <w:b/>
                <w:color w:val="auto"/>
                <w:sz w:val="21"/>
                <w:szCs w:val="21"/>
              </w:rPr>
            </w:pPr>
            <w:r>
              <w:rPr>
                <w:rFonts w:hint="eastAsia" w:ascii="宋体" w:hAnsi="宋体" w:eastAsia="宋体"/>
                <w:color w:val="auto"/>
                <w:sz w:val="21"/>
                <w:szCs w:val="21"/>
              </w:rPr>
              <w:t>日期：</w:t>
            </w:r>
          </w:p>
        </w:tc>
      </w:tr>
    </w:tbl>
    <w:p>
      <w:pPr>
        <w:pStyle w:val="24"/>
        <w:spacing w:after="0" w:line="360" w:lineRule="auto"/>
        <w:ind w:firstLine="0" w:firstLineChars="0"/>
        <w:rPr>
          <w:rFonts w:ascii="宋体" w:hAnsi="宋体" w:eastAsia="宋体"/>
          <w:color w:val="auto"/>
          <w:sz w:val="21"/>
          <w:szCs w:val="21"/>
        </w:rPr>
      </w:pPr>
      <w:r>
        <w:rPr>
          <w:rFonts w:hint="eastAsia" w:ascii="宋体" w:hAnsi="宋体" w:eastAsia="宋体"/>
          <w:color w:val="auto"/>
          <w:sz w:val="21"/>
          <w:szCs w:val="21"/>
        </w:rPr>
        <w:br w:type="page"/>
      </w:r>
    </w:p>
    <w:p>
      <w:pPr>
        <w:jc w:val="center"/>
        <w:rPr>
          <w:rFonts w:ascii="黑体" w:eastAsia="黑体"/>
          <w:color w:val="auto"/>
          <w:sz w:val="32"/>
          <w:szCs w:val="32"/>
        </w:rPr>
      </w:pPr>
    </w:p>
    <w:p>
      <w:pPr>
        <w:jc w:val="center"/>
        <w:rPr>
          <w:rFonts w:ascii="黑体" w:eastAsia="黑体"/>
          <w:color w:val="auto"/>
          <w:sz w:val="32"/>
          <w:szCs w:val="32"/>
        </w:rPr>
      </w:pPr>
      <w:r>
        <w:rPr>
          <w:rFonts w:hint="eastAsia" w:ascii="黑体" w:eastAsia="黑体"/>
          <w:color w:val="auto"/>
          <w:sz w:val="32"/>
          <w:szCs w:val="32"/>
        </w:rPr>
        <w:t>节能产品或环境标志产品列价表</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1381"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货物名称</w:t>
            </w:r>
          </w:p>
        </w:tc>
        <w:tc>
          <w:tcPr>
            <w:tcW w:w="1316"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规格型号</w:t>
            </w:r>
          </w:p>
        </w:tc>
        <w:tc>
          <w:tcPr>
            <w:tcW w:w="1067"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数量</w:t>
            </w:r>
          </w:p>
        </w:tc>
        <w:tc>
          <w:tcPr>
            <w:tcW w:w="1150"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单价</w:t>
            </w:r>
          </w:p>
        </w:tc>
        <w:tc>
          <w:tcPr>
            <w:tcW w:w="850"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总价</w:t>
            </w:r>
          </w:p>
        </w:tc>
        <w:tc>
          <w:tcPr>
            <w:tcW w:w="833"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备注</w:t>
            </w:r>
          </w:p>
        </w:tc>
        <w:tc>
          <w:tcPr>
            <w:tcW w:w="1050"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1</w:t>
            </w:r>
          </w:p>
        </w:tc>
        <w:tc>
          <w:tcPr>
            <w:tcW w:w="1381" w:type="dxa"/>
            <w:vAlign w:val="center"/>
          </w:tcPr>
          <w:p>
            <w:pPr>
              <w:spacing w:after="0"/>
              <w:jc w:val="center"/>
              <w:textAlignment w:val="bottom"/>
              <w:rPr>
                <w:rFonts w:ascii="宋体" w:hAnsi="宋体" w:eastAsia="宋体" w:cs="宋体"/>
                <w:color w:val="auto"/>
                <w:sz w:val="21"/>
                <w:szCs w:val="21"/>
              </w:rPr>
            </w:pPr>
          </w:p>
        </w:tc>
        <w:tc>
          <w:tcPr>
            <w:tcW w:w="1316" w:type="dxa"/>
            <w:vAlign w:val="center"/>
          </w:tcPr>
          <w:p>
            <w:pPr>
              <w:spacing w:after="0"/>
              <w:jc w:val="center"/>
              <w:textAlignment w:val="bottom"/>
              <w:rPr>
                <w:rFonts w:ascii="宋体" w:hAnsi="宋体" w:eastAsia="宋体" w:cs="宋体"/>
                <w:color w:val="auto"/>
                <w:sz w:val="21"/>
                <w:szCs w:val="21"/>
              </w:rPr>
            </w:pPr>
          </w:p>
        </w:tc>
        <w:tc>
          <w:tcPr>
            <w:tcW w:w="1067" w:type="dxa"/>
            <w:vAlign w:val="center"/>
          </w:tcPr>
          <w:p>
            <w:pPr>
              <w:spacing w:after="0"/>
              <w:jc w:val="center"/>
              <w:textAlignment w:val="bottom"/>
              <w:rPr>
                <w:rFonts w:ascii="宋体" w:hAnsi="宋体" w:eastAsia="宋体" w:cs="宋体"/>
                <w:color w:val="auto"/>
                <w:sz w:val="21"/>
                <w:szCs w:val="21"/>
              </w:rPr>
            </w:pPr>
          </w:p>
        </w:tc>
        <w:tc>
          <w:tcPr>
            <w:tcW w:w="1150" w:type="dxa"/>
            <w:vAlign w:val="center"/>
          </w:tcPr>
          <w:p>
            <w:pPr>
              <w:spacing w:after="0"/>
              <w:jc w:val="center"/>
              <w:textAlignment w:val="bottom"/>
              <w:rPr>
                <w:rFonts w:ascii="宋体" w:hAnsi="宋体" w:eastAsia="宋体" w:cs="宋体"/>
                <w:color w:val="auto"/>
                <w:sz w:val="21"/>
                <w:szCs w:val="21"/>
              </w:rPr>
            </w:pPr>
          </w:p>
        </w:tc>
        <w:tc>
          <w:tcPr>
            <w:tcW w:w="850" w:type="dxa"/>
            <w:vAlign w:val="center"/>
          </w:tcPr>
          <w:p>
            <w:pPr>
              <w:spacing w:after="0"/>
              <w:jc w:val="center"/>
              <w:textAlignment w:val="bottom"/>
              <w:rPr>
                <w:rFonts w:ascii="宋体" w:hAnsi="宋体" w:eastAsia="宋体" w:cs="宋体"/>
                <w:color w:val="auto"/>
                <w:sz w:val="21"/>
                <w:szCs w:val="21"/>
              </w:rPr>
            </w:pPr>
          </w:p>
        </w:tc>
        <w:tc>
          <w:tcPr>
            <w:tcW w:w="833" w:type="dxa"/>
            <w:vAlign w:val="center"/>
          </w:tcPr>
          <w:p>
            <w:pPr>
              <w:spacing w:after="0"/>
              <w:jc w:val="center"/>
              <w:textAlignment w:val="bottom"/>
              <w:rPr>
                <w:rFonts w:ascii="宋体" w:hAnsi="宋体" w:eastAsia="宋体" w:cs="宋体"/>
                <w:color w:val="auto"/>
                <w:sz w:val="21"/>
                <w:szCs w:val="21"/>
              </w:rPr>
            </w:pPr>
          </w:p>
        </w:tc>
        <w:tc>
          <w:tcPr>
            <w:tcW w:w="1050" w:type="dxa"/>
            <w:vAlign w:val="center"/>
          </w:tcPr>
          <w:p>
            <w:pPr>
              <w:spacing w:after="0"/>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2</w:t>
            </w:r>
          </w:p>
        </w:tc>
        <w:tc>
          <w:tcPr>
            <w:tcW w:w="1381" w:type="dxa"/>
            <w:vAlign w:val="center"/>
          </w:tcPr>
          <w:p>
            <w:pPr>
              <w:spacing w:after="0"/>
              <w:jc w:val="center"/>
              <w:textAlignment w:val="bottom"/>
              <w:rPr>
                <w:rFonts w:ascii="宋体" w:hAnsi="宋体" w:eastAsia="宋体" w:cs="宋体"/>
                <w:color w:val="auto"/>
                <w:sz w:val="21"/>
                <w:szCs w:val="21"/>
              </w:rPr>
            </w:pPr>
          </w:p>
        </w:tc>
        <w:tc>
          <w:tcPr>
            <w:tcW w:w="1316" w:type="dxa"/>
            <w:vAlign w:val="center"/>
          </w:tcPr>
          <w:p>
            <w:pPr>
              <w:spacing w:after="0"/>
              <w:jc w:val="center"/>
              <w:textAlignment w:val="bottom"/>
              <w:rPr>
                <w:rFonts w:ascii="宋体" w:hAnsi="宋体" w:eastAsia="宋体" w:cs="宋体"/>
                <w:color w:val="auto"/>
                <w:sz w:val="21"/>
                <w:szCs w:val="21"/>
              </w:rPr>
            </w:pPr>
          </w:p>
        </w:tc>
        <w:tc>
          <w:tcPr>
            <w:tcW w:w="1067" w:type="dxa"/>
            <w:vAlign w:val="center"/>
          </w:tcPr>
          <w:p>
            <w:pPr>
              <w:spacing w:after="0"/>
              <w:jc w:val="center"/>
              <w:textAlignment w:val="bottom"/>
              <w:rPr>
                <w:rFonts w:ascii="宋体" w:hAnsi="宋体" w:eastAsia="宋体" w:cs="宋体"/>
                <w:color w:val="auto"/>
                <w:sz w:val="21"/>
                <w:szCs w:val="21"/>
              </w:rPr>
            </w:pPr>
          </w:p>
        </w:tc>
        <w:tc>
          <w:tcPr>
            <w:tcW w:w="1150" w:type="dxa"/>
            <w:vAlign w:val="center"/>
          </w:tcPr>
          <w:p>
            <w:pPr>
              <w:spacing w:after="0"/>
              <w:jc w:val="center"/>
              <w:textAlignment w:val="bottom"/>
              <w:rPr>
                <w:rFonts w:ascii="宋体" w:hAnsi="宋体" w:eastAsia="宋体" w:cs="宋体"/>
                <w:color w:val="auto"/>
                <w:sz w:val="21"/>
                <w:szCs w:val="21"/>
              </w:rPr>
            </w:pPr>
          </w:p>
        </w:tc>
        <w:tc>
          <w:tcPr>
            <w:tcW w:w="850" w:type="dxa"/>
            <w:vAlign w:val="center"/>
          </w:tcPr>
          <w:p>
            <w:pPr>
              <w:spacing w:after="0"/>
              <w:jc w:val="center"/>
              <w:textAlignment w:val="bottom"/>
              <w:rPr>
                <w:rFonts w:ascii="宋体" w:hAnsi="宋体" w:eastAsia="宋体" w:cs="宋体"/>
                <w:color w:val="auto"/>
                <w:sz w:val="21"/>
                <w:szCs w:val="21"/>
              </w:rPr>
            </w:pPr>
          </w:p>
        </w:tc>
        <w:tc>
          <w:tcPr>
            <w:tcW w:w="833" w:type="dxa"/>
            <w:vAlign w:val="center"/>
          </w:tcPr>
          <w:p>
            <w:pPr>
              <w:spacing w:after="0"/>
              <w:jc w:val="center"/>
              <w:textAlignment w:val="bottom"/>
              <w:rPr>
                <w:rFonts w:ascii="宋体" w:hAnsi="宋体" w:eastAsia="宋体" w:cs="宋体"/>
                <w:color w:val="auto"/>
                <w:sz w:val="21"/>
                <w:szCs w:val="21"/>
              </w:rPr>
            </w:pPr>
          </w:p>
        </w:tc>
        <w:tc>
          <w:tcPr>
            <w:tcW w:w="1050" w:type="dxa"/>
            <w:vAlign w:val="center"/>
          </w:tcPr>
          <w:p>
            <w:pPr>
              <w:spacing w:after="0"/>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3</w:t>
            </w:r>
          </w:p>
        </w:tc>
        <w:tc>
          <w:tcPr>
            <w:tcW w:w="1381" w:type="dxa"/>
            <w:vAlign w:val="center"/>
          </w:tcPr>
          <w:p>
            <w:pPr>
              <w:spacing w:after="0"/>
              <w:jc w:val="center"/>
              <w:textAlignment w:val="bottom"/>
              <w:rPr>
                <w:rFonts w:ascii="宋体" w:hAnsi="宋体" w:eastAsia="宋体" w:cs="宋体"/>
                <w:color w:val="auto"/>
                <w:sz w:val="21"/>
                <w:szCs w:val="21"/>
              </w:rPr>
            </w:pPr>
          </w:p>
        </w:tc>
        <w:tc>
          <w:tcPr>
            <w:tcW w:w="1316" w:type="dxa"/>
            <w:vAlign w:val="center"/>
          </w:tcPr>
          <w:p>
            <w:pPr>
              <w:spacing w:after="0"/>
              <w:jc w:val="center"/>
              <w:textAlignment w:val="bottom"/>
              <w:rPr>
                <w:rFonts w:ascii="宋体" w:hAnsi="宋体" w:eastAsia="宋体" w:cs="宋体"/>
                <w:color w:val="auto"/>
                <w:sz w:val="21"/>
                <w:szCs w:val="21"/>
              </w:rPr>
            </w:pPr>
          </w:p>
        </w:tc>
        <w:tc>
          <w:tcPr>
            <w:tcW w:w="1067" w:type="dxa"/>
            <w:vAlign w:val="center"/>
          </w:tcPr>
          <w:p>
            <w:pPr>
              <w:spacing w:after="0"/>
              <w:jc w:val="center"/>
              <w:textAlignment w:val="bottom"/>
              <w:rPr>
                <w:rFonts w:ascii="宋体" w:hAnsi="宋体" w:eastAsia="宋体" w:cs="宋体"/>
                <w:color w:val="auto"/>
                <w:sz w:val="21"/>
                <w:szCs w:val="21"/>
              </w:rPr>
            </w:pPr>
          </w:p>
        </w:tc>
        <w:tc>
          <w:tcPr>
            <w:tcW w:w="1150" w:type="dxa"/>
            <w:vAlign w:val="center"/>
          </w:tcPr>
          <w:p>
            <w:pPr>
              <w:spacing w:after="0"/>
              <w:jc w:val="center"/>
              <w:textAlignment w:val="bottom"/>
              <w:rPr>
                <w:rFonts w:ascii="宋体" w:hAnsi="宋体" w:eastAsia="宋体" w:cs="宋体"/>
                <w:color w:val="auto"/>
                <w:sz w:val="21"/>
                <w:szCs w:val="21"/>
              </w:rPr>
            </w:pPr>
          </w:p>
        </w:tc>
        <w:tc>
          <w:tcPr>
            <w:tcW w:w="850" w:type="dxa"/>
            <w:vAlign w:val="center"/>
          </w:tcPr>
          <w:p>
            <w:pPr>
              <w:spacing w:after="0"/>
              <w:jc w:val="center"/>
              <w:textAlignment w:val="bottom"/>
              <w:rPr>
                <w:rFonts w:ascii="宋体" w:hAnsi="宋体" w:eastAsia="宋体" w:cs="宋体"/>
                <w:color w:val="auto"/>
                <w:sz w:val="21"/>
                <w:szCs w:val="21"/>
              </w:rPr>
            </w:pPr>
          </w:p>
        </w:tc>
        <w:tc>
          <w:tcPr>
            <w:tcW w:w="833" w:type="dxa"/>
            <w:vAlign w:val="center"/>
          </w:tcPr>
          <w:p>
            <w:pPr>
              <w:spacing w:after="0"/>
              <w:jc w:val="center"/>
              <w:textAlignment w:val="bottom"/>
              <w:rPr>
                <w:rFonts w:ascii="宋体" w:hAnsi="宋体" w:eastAsia="宋体" w:cs="宋体"/>
                <w:color w:val="auto"/>
                <w:sz w:val="21"/>
                <w:szCs w:val="21"/>
              </w:rPr>
            </w:pPr>
          </w:p>
        </w:tc>
        <w:tc>
          <w:tcPr>
            <w:tcW w:w="1050" w:type="dxa"/>
            <w:vAlign w:val="center"/>
          </w:tcPr>
          <w:p>
            <w:pPr>
              <w:spacing w:after="0"/>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w:t>
            </w:r>
          </w:p>
        </w:tc>
        <w:tc>
          <w:tcPr>
            <w:tcW w:w="1381" w:type="dxa"/>
            <w:vAlign w:val="center"/>
          </w:tcPr>
          <w:p>
            <w:pPr>
              <w:spacing w:after="0"/>
              <w:jc w:val="center"/>
              <w:textAlignment w:val="bottom"/>
              <w:rPr>
                <w:rFonts w:ascii="宋体" w:hAnsi="宋体" w:eastAsia="宋体" w:cs="宋体"/>
                <w:color w:val="auto"/>
                <w:sz w:val="21"/>
                <w:szCs w:val="21"/>
              </w:rPr>
            </w:pPr>
          </w:p>
        </w:tc>
        <w:tc>
          <w:tcPr>
            <w:tcW w:w="1316" w:type="dxa"/>
            <w:vAlign w:val="center"/>
          </w:tcPr>
          <w:p>
            <w:pPr>
              <w:spacing w:after="0"/>
              <w:jc w:val="center"/>
              <w:textAlignment w:val="bottom"/>
              <w:rPr>
                <w:rFonts w:ascii="宋体" w:hAnsi="宋体" w:eastAsia="宋体" w:cs="宋体"/>
                <w:color w:val="auto"/>
                <w:sz w:val="21"/>
                <w:szCs w:val="21"/>
              </w:rPr>
            </w:pPr>
          </w:p>
        </w:tc>
        <w:tc>
          <w:tcPr>
            <w:tcW w:w="1067" w:type="dxa"/>
            <w:vAlign w:val="center"/>
          </w:tcPr>
          <w:p>
            <w:pPr>
              <w:spacing w:after="0"/>
              <w:jc w:val="center"/>
              <w:textAlignment w:val="bottom"/>
              <w:rPr>
                <w:rFonts w:ascii="宋体" w:hAnsi="宋体" w:eastAsia="宋体" w:cs="宋体"/>
                <w:color w:val="auto"/>
                <w:sz w:val="21"/>
                <w:szCs w:val="21"/>
              </w:rPr>
            </w:pPr>
          </w:p>
        </w:tc>
        <w:tc>
          <w:tcPr>
            <w:tcW w:w="1150" w:type="dxa"/>
            <w:vAlign w:val="center"/>
          </w:tcPr>
          <w:p>
            <w:pPr>
              <w:spacing w:after="0"/>
              <w:jc w:val="center"/>
              <w:textAlignment w:val="bottom"/>
              <w:rPr>
                <w:rFonts w:ascii="宋体" w:hAnsi="宋体" w:eastAsia="宋体" w:cs="宋体"/>
                <w:color w:val="auto"/>
                <w:sz w:val="21"/>
                <w:szCs w:val="21"/>
              </w:rPr>
            </w:pPr>
          </w:p>
        </w:tc>
        <w:tc>
          <w:tcPr>
            <w:tcW w:w="850" w:type="dxa"/>
            <w:vAlign w:val="center"/>
          </w:tcPr>
          <w:p>
            <w:pPr>
              <w:spacing w:after="0"/>
              <w:jc w:val="center"/>
              <w:textAlignment w:val="bottom"/>
              <w:rPr>
                <w:rFonts w:ascii="宋体" w:hAnsi="宋体" w:eastAsia="宋体" w:cs="宋体"/>
                <w:color w:val="auto"/>
                <w:sz w:val="21"/>
                <w:szCs w:val="21"/>
              </w:rPr>
            </w:pPr>
          </w:p>
        </w:tc>
        <w:tc>
          <w:tcPr>
            <w:tcW w:w="833" w:type="dxa"/>
            <w:vAlign w:val="center"/>
          </w:tcPr>
          <w:p>
            <w:pPr>
              <w:spacing w:after="0"/>
              <w:jc w:val="center"/>
              <w:textAlignment w:val="bottom"/>
              <w:rPr>
                <w:rFonts w:ascii="宋体" w:hAnsi="宋体" w:eastAsia="宋体" w:cs="宋体"/>
                <w:color w:val="auto"/>
                <w:sz w:val="21"/>
                <w:szCs w:val="21"/>
              </w:rPr>
            </w:pPr>
          </w:p>
        </w:tc>
        <w:tc>
          <w:tcPr>
            <w:tcW w:w="1050" w:type="dxa"/>
            <w:vAlign w:val="center"/>
          </w:tcPr>
          <w:p>
            <w:pPr>
              <w:spacing w:after="0"/>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256" w:type="dxa"/>
            <w:gridSpan w:val="2"/>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总计</w:t>
            </w:r>
          </w:p>
        </w:tc>
        <w:tc>
          <w:tcPr>
            <w:tcW w:w="6266" w:type="dxa"/>
            <w:gridSpan w:val="6"/>
            <w:vAlign w:val="center"/>
          </w:tcPr>
          <w:p>
            <w:pPr>
              <w:spacing w:after="0"/>
              <w:rPr>
                <w:rFonts w:ascii="宋体" w:hAnsi="宋体" w:eastAsia="宋体" w:cs="宋体"/>
                <w:color w:val="auto"/>
                <w:sz w:val="21"/>
                <w:szCs w:val="21"/>
              </w:rPr>
            </w:pPr>
            <w:r>
              <w:rPr>
                <w:rStyle w:val="34"/>
                <w:rFonts w:hint="eastAsia" w:ascii="宋体" w:hAnsi="宋体" w:eastAsia="宋体" w:cs="宋体"/>
                <w:color w:val="auto"/>
                <w:sz w:val="21"/>
                <w:szCs w:val="21"/>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tabs>
                <w:tab w:val="left" w:pos="284"/>
              </w:tabs>
              <w:spacing w:after="0"/>
              <w:rPr>
                <w:rStyle w:val="34"/>
                <w:rFonts w:ascii="宋体" w:hAnsi="宋体" w:eastAsia="宋体" w:cs="宋体"/>
                <w:b/>
                <w:color w:val="auto"/>
                <w:sz w:val="21"/>
                <w:szCs w:val="21"/>
              </w:rPr>
            </w:pPr>
            <w:r>
              <w:rPr>
                <w:rStyle w:val="34"/>
                <w:rFonts w:hint="eastAsia" w:ascii="宋体" w:hAnsi="宋体" w:eastAsia="宋体" w:cs="宋体"/>
                <w:b/>
                <w:color w:val="auto"/>
                <w:sz w:val="21"/>
                <w:szCs w:val="21"/>
              </w:rPr>
              <w:t>注：1、投标人在“货物（服务）分项报价表”中的报价内容中，如有属于节能产品或环境标志产的，必须在此表单独列明且提供相应的证明材料，否则在计算价格得分时不予以相应的扣除；</w:t>
            </w:r>
          </w:p>
          <w:p>
            <w:pPr>
              <w:tabs>
                <w:tab w:val="left" w:pos="284"/>
              </w:tabs>
              <w:spacing w:after="0"/>
              <w:rPr>
                <w:rStyle w:val="34"/>
                <w:rFonts w:ascii="宋体" w:hAnsi="宋体" w:eastAsia="宋体" w:cs="宋体"/>
                <w:b/>
                <w:color w:val="auto"/>
                <w:sz w:val="21"/>
                <w:szCs w:val="21"/>
              </w:rPr>
            </w:pPr>
            <w:r>
              <w:rPr>
                <w:rStyle w:val="34"/>
                <w:rFonts w:hint="eastAsia" w:ascii="宋体" w:hAnsi="宋体" w:eastAsia="宋体" w:cs="宋体"/>
                <w:b/>
                <w:color w:val="auto"/>
                <w:sz w:val="21"/>
                <w:szCs w:val="21"/>
              </w:rPr>
              <w:t>2、投标人应该如实填写，如投标人所投产品中无节能或环保产品的，请留空或删除此表！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rPr>
            </w:pPr>
            <w:r>
              <w:rPr>
                <w:rFonts w:hint="eastAsia" w:ascii="宋体" w:hAnsi="宋体" w:eastAsia="宋体"/>
                <w:color w:val="auto"/>
                <w:sz w:val="21"/>
                <w:szCs w:val="21"/>
              </w:rPr>
              <w:t>投标人代表签字：</w:t>
            </w:r>
          </w:p>
          <w:p>
            <w:pPr>
              <w:spacing w:after="0"/>
              <w:rPr>
                <w:rFonts w:ascii="宋体" w:hAnsi="宋体" w:eastAsia="宋体"/>
                <w:color w:val="auto"/>
                <w:sz w:val="21"/>
                <w:szCs w:val="21"/>
              </w:rPr>
            </w:pPr>
            <w:r>
              <w:rPr>
                <w:rFonts w:hint="eastAsia" w:ascii="宋体" w:hAnsi="宋体" w:eastAsia="宋体"/>
                <w:color w:val="auto"/>
                <w:sz w:val="21"/>
                <w:szCs w:val="21"/>
              </w:rPr>
              <w:t>投标人盖章：</w:t>
            </w:r>
          </w:p>
          <w:p>
            <w:pPr>
              <w:tabs>
                <w:tab w:val="left" w:pos="284"/>
              </w:tabs>
              <w:spacing w:after="0"/>
              <w:rPr>
                <w:rStyle w:val="34"/>
                <w:rFonts w:ascii="宋体" w:hAnsi="宋体" w:eastAsia="宋体" w:cs="宋体"/>
                <w:b/>
                <w:color w:val="auto"/>
                <w:sz w:val="21"/>
                <w:szCs w:val="21"/>
              </w:rPr>
            </w:pPr>
            <w:r>
              <w:rPr>
                <w:rFonts w:hint="eastAsia" w:ascii="宋体" w:hAnsi="宋体" w:eastAsia="宋体"/>
                <w:color w:val="auto"/>
                <w:sz w:val="21"/>
                <w:szCs w:val="21"/>
              </w:rPr>
              <w:t>日期：</w:t>
            </w:r>
          </w:p>
        </w:tc>
      </w:tr>
    </w:tbl>
    <w:p>
      <w:pPr>
        <w:jc w:val="both"/>
        <w:rPr>
          <w:rFonts w:ascii="宋体" w:hAnsi="宋体" w:eastAsia="宋体"/>
          <w:color w:val="auto"/>
          <w:sz w:val="21"/>
          <w:szCs w:val="21"/>
        </w:rPr>
      </w:pPr>
      <w:r>
        <w:rPr>
          <w:rFonts w:hint="eastAsia" w:ascii="宋体" w:hAnsi="宋体" w:eastAsia="宋体"/>
          <w:color w:val="auto"/>
          <w:sz w:val="21"/>
          <w:szCs w:val="21"/>
        </w:rPr>
        <w:br w:type="page"/>
      </w:r>
    </w:p>
    <w:p>
      <w:pPr>
        <w:pStyle w:val="6"/>
        <w:widowControl w:val="0"/>
        <w:overflowPunct w:val="0"/>
        <w:spacing w:before="0" w:after="0" w:line="240" w:lineRule="auto"/>
        <w:rPr>
          <w:rFonts w:ascii="宋体" w:hAnsi="宋体" w:eastAsia="宋体"/>
          <w:color w:val="auto"/>
          <w:sz w:val="21"/>
          <w:szCs w:val="21"/>
        </w:rPr>
      </w:pPr>
      <w:bookmarkStart w:id="143" w:name="_Toc16412"/>
      <w:r>
        <w:rPr>
          <w:rFonts w:hint="eastAsia" w:ascii="宋体" w:hAnsi="宋体" w:eastAsia="宋体"/>
          <w:color w:val="auto"/>
          <w:sz w:val="21"/>
          <w:szCs w:val="21"/>
        </w:rPr>
        <w:t>附件5. 法定代表人证明书格式</w:t>
      </w:r>
      <w:bookmarkEnd w:id="143"/>
    </w:p>
    <w:p>
      <w:pPr>
        <w:rPr>
          <w:color w:val="auto"/>
        </w:rPr>
      </w:pPr>
    </w:p>
    <w:p>
      <w:pPr>
        <w:jc w:val="center"/>
        <w:rPr>
          <w:rFonts w:ascii="黑体" w:eastAsia="黑体"/>
          <w:color w:val="auto"/>
          <w:sz w:val="28"/>
          <w:szCs w:val="28"/>
        </w:rPr>
      </w:pPr>
      <w:r>
        <w:rPr>
          <w:rFonts w:hint="eastAsia" w:ascii="黑体" w:eastAsia="黑体"/>
          <w:color w:val="auto"/>
          <w:sz w:val="28"/>
          <w:szCs w:val="28"/>
        </w:rPr>
        <w:t>法定代表人证明书</w:t>
      </w:r>
    </w:p>
    <w:p>
      <w:pPr>
        <w:pStyle w:val="27"/>
        <w:spacing w:line="420" w:lineRule="atLeast"/>
        <w:ind w:firstLine="0" w:firstLineChars="0"/>
        <w:rPr>
          <w:rFonts w:ascii="宋体" w:eastAsia="宋体"/>
          <w:color w:val="auto"/>
          <w:sz w:val="21"/>
          <w:szCs w:val="21"/>
        </w:rPr>
      </w:pPr>
      <w:r>
        <w:rPr>
          <w:rFonts w:hint="eastAsia" w:ascii="宋体" w:eastAsia="宋体"/>
          <w:color w:val="auto"/>
          <w:sz w:val="21"/>
          <w:szCs w:val="21"/>
        </w:rPr>
        <w:t>致：广东三方诚信招标有限公司东莞分公司</w:t>
      </w:r>
    </w:p>
    <w:p>
      <w:pPr>
        <w:pStyle w:val="27"/>
        <w:spacing w:line="420" w:lineRule="atLeast"/>
        <w:ind w:firstLine="433"/>
        <w:rPr>
          <w:rFonts w:ascii="宋体" w:eastAsia="宋体"/>
          <w:color w:val="auto"/>
          <w:sz w:val="21"/>
          <w:szCs w:val="21"/>
        </w:rPr>
      </w:pPr>
    </w:p>
    <w:p>
      <w:pPr>
        <w:pStyle w:val="27"/>
        <w:spacing w:line="420" w:lineRule="atLeast"/>
        <w:ind w:firstLine="433"/>
        <w:rPr>
          <w:rFonts w:ascii="宋体" w:eastAsia="宋体"/>
          <w:color w:val="auto"/>
          <w:sz w:val="21"/>
          <w:szCs w:val="21"/>
          <w:u w:val="single"/>
        </w:rPr>
      </w:pPr>
      <w:r>
        <w:rPr>
          <w:rFonts w:hint="eastAsia" w:ascii="宋体" w:eastAsia="宋体"/>
          <w:color w:val="auto"/>
          <w:sz w:val="21"/>
          <w:szCs w:val="21"/>
        </w:rPr>
        <w:t>投标人名称:</w:t>
      </w:r>
    </w:p>
    <w:p>
      <w:pPr>
        <w:pStyle w:val="27"/>
        <w:spacing w:line="420" w:lineRule="atLeast"/>
        <w:ind w:firstLine="433"/>
        <w:rPr>
          <w:rFonts w:ascii="宋体" w:eastAsia="宋体"/>
          <w:color w:val="auto"/>
          <w:sz w:val="21"/>
          <w:szCs w:val="21"/>
          <w:u w:val="single"/>
        </w:rPr>
      </w:pPr>
      <w:r>
        <w:rPr>
          <w:rFonts w:hint="eastAsia" w:ascii="宋体" w:eastAsia="宋体"/>
          <w:color w:val="auto"/>
          <w:sz w:val="21"/>
          <w:szCs w:val="21"/>
        </w:rPr>
        <w:t>单 位 性质：</w:t>
      </w:r>
    </w:p>
    <w:p>
      <w:pPr>
        <w:pStyle w:val="27"/>
        <w:spacing w:line="420" w:lineRule="atLeast"/>
        <w:ind w:firstLine="433"/>
        <w:rPr>
          <w:rFonts w:ascii="宋体" w:eastAsia="宋体"/>
          <w:color w:val="auto"/>
          <w:sz w:val="21"/>
          <w:szCs w:val="21"/>
          <w:u w:val="single"/>
        </w:rPr>
      </w:pPr>
      <w:r>
        <w:rPr>
          <w:rFonts w:hint="eastAsia" w:ascii="宋体" w:eastAsia="宋体"/>
          <w:color w:val="auto"/>
          <w:sz w:val="21"/>
          <w:szCs w:val="21"/>
        </w:rPr>
        <w:t>地      址：</w:t>
      </w:r>
    </w:p>
    <w:p>
      <w:pPr>
        <w:pStyle w:val="27"/>
        <w:spacing w:line="420" w:lineRule="atLeast"/>
        <w:ind w:firstLine="433"/>
        <w:rPr>
          <w:rFonts w:ascii="宋体" w:eastAsia="宋体"/>
          <w:color w:val="auto"/>
          <w:sz w:val="21"/>
          <w:szCs w:val="21"/>
        </w:rPr>
      </w:pPr>
      <w:r>
        <w:rPr>
          <w:rFonts w:hint="eastAsia" w:ascii="宋体" w:eastAsia="宋体"/>
          <w:color w:val="auto"/>
          <w:sz w:val="21"/>
          <w:szCs w:val="21"/>
        </w:rPr>
        <w:t>成 立 时间：</w:t>
      </w:r>
      <w:r>
        <w:rPr>
          <w:rFonts w:hint="eastAsia" w:ascii="宋体" w:eastAsia="宋体"/>
          <w:color w:val="auto"/>
          <w:sz w:val="21"/>
          <w:szCs w:val="21"/>
          <w:u w:val="single"/>
        </w:rPr>
        <w:t xml:space="preserve">           </w:t>
      </w:r>
      <w:r>
        <w:rPr>
          <w:rFonts w:hint="eastAsia" w:ascii="宋体" w:eastAsia="宋体"/>
          <w:color w:val="auto"/>
          <w:sz w:val="21"/>
          <w:szCs w:val="21"/>
        </w:rPr>
        <w:t>年</w:t>
      </w:r>
      <w:r>
        <w:rPr>
          <w:rFonts w:hint="eastAsia" w:ascii="宋体" w:eastAsia="宋体"/>
          <w:color w:val="auto"/>
          <w:sz w:val="21"/>
          <w:szCs w:val="21"/>
          <w:u w:val="single"/>
        </w:rPr>
        <w:t xml:space="preserve">           </w:t>
      </w:r>
      <w:r>
        <w:rPr>
          <w:rFonts w:hint="eastAsia" w:ascii="宋体" w:eastAsia="宋体"/>
          <w:color w:val="auto"/>
          <w:sz w:val="21"/>
          <w:szCs w:val="21"/>
        </w:rPr>
        <w:t>月</w:t>
      </w:r>
      <w:r>
        <w:rPr>
          <w:rFonts w:hint="eastAsia" w:ascii="宋体" w:eastAsia="宋体"/>
          <w:color w:val="auto"/>
          <w:sz w:val="21"/>
          <w:szCs w:val="21"/>
          <w:u w:val="single"/>
        </w:rPr>
        <w:t xml:space="preserve">           </w:t>
      </w:r>
      <w:r>
        <w:rPr>
          <w:rFonts w:hint="eastAsia" w:ascii="宋体" w:eastAsia="宋体"/>
          <w:color w:val="auto"/>
          <w:sz w:val="21"/>
          <w:szCs w:val="21"/>
        </w:rPr>
        <w:t>日</w:t>
      </w:r>
    </w:p>
    <w:p>
      <w:pPr>
        <w:pStyle w:val="27"/>
        <w:spacing w:line="420" w:lineRule="atLeast"/>
        <w:ind w:firstLine="433"/>
        <w:rPr>
          <w:rFonts w:ascii="宋体" w:eastAsia="宋体"/>
          <w:color w:val="auto"/>
          <w:sz w:val="21"/>
          <w:szCs w:val="21"/>
        </w:rPr>
      </w:pPr>
      <w:r>
        <w:rPr>
          <w:rFonts w:hint="eastAsia" w:ascii="宋体" w:eastAsia="宋体"/>
          <w:color w:val="auto"/>
          <w:sz w:val="21"/>
          <w:szCs w:val="21"/>
        </w:rPr>
        <w:t>经 营 期限：</w:t>
      </w:r>
      <w:r>
        <w:rPr>
          <w:rFonts w:hint="eastAsia" w:ascii="宋体" w:eastAsia="宋体"/>
          <w:color w:val="auto"/>
          <w:sz w:val="21"/>
          <w:szCs w:val="21"/>
          <w:u w:val="single"/>
        </w:rPr>
        <w:t xml:space="preserve">                                      </w:t>
      </w:r>
    </w:p>
    <w:p>
      <w:pPr>
        <w:pStyle w:val="27"/>
        <w:spacing w:line="420" w:lineRule="atLeast"/>
        <w:ind w:firstLine="433"/>
        <w:rPr>
          <w:rFonts w:ascii="宋体" w:eastAsia="宋体"/>
          <w:color w:val="auto"/>
          <w:sz w:val="21"/>
          <w:szCs w:val="21"/>
        </w:rPr>
      </w:pPr>
      <w:r>
        <w:rPr>
          <w:rFonts w:hint="eastAsia" w:ascii="宋体" w:eastAsia="宋体"/>
          <w:color w:val="auto"/>
          <w:sz w:val="21"/>
          <w:szCs w:val="21"/>
        </w:rPr>
        <w:t>姓名：</w:t>
      </w:r>
      <w:r>
        <w:rPr>
          <w:rFonts w:hint="eastAsia" w:ascii="宋体" w:eastAsia="宋体"/>
          <w:color w:val="auto"/>
          <w:sz w:val="21"/>
          <w:szCs w:val="21"/>
          <w:u w:val="single"/>
        </w:rPr>
        <w:t xml:space="preserve">            </w:t>
      </w:r>
      <w:r>
        <w:rPr>
          <w:rFonts w:hint="eastAsia" w:ascii="宋体" w:eastAsia="宋体"/>
          <w:color w:val="auto"/>
          <w:sz w:val="21"/>
          <w:szCs w:val="21"/>
        </w:rPr>
        <w:t>性别：</w:t>
      </w:r>
      <w:r>
        <w:rPr>
          <w:rFonts w:hint="eastAsia" w:ascii="宋体" w:eastAsia="宋体"/>
          <w:color w:val="auto"/>
          <w:sz w:val="21"/>
          <w:szCs w:val="21"/>
          <w:u w:val="single"/>
        </w:rPr>
        <w:t xml:space="preserve">            </w:t>
      </w:r>
      <w:r>
        <w:rPr>
          <w:rFonts w:hint="eastAsia" w:ascii="宋体" w:eastAsia="宋体"/>
          <w:color w:val="auto"/>
          <w:sz w:val="21"/>
          <w:szCs w:val="21"/>
        </w:rPr>
        <w:t>年龄：</w:t>
      </w:r>
      <w:r>
        <w:rPr>
          <w:rFonts w:hint="eastAsia" w:ascii="宋体" w:eastAsia="宋体"/>
          <w:color w:val="auto"/>
          <w:sz w:val="21"/>
          <w:szCs w:val="21"/>
          <w:u w:val="single"/>
        </w:rPr>
        <w:t xml:space="preserve">            </w:t>
      </w:r>
      <w:r>
        <w:rPr>
          <w:rFonts w:hint="eastAsia" w:ascii="宋体" w:eastAsia="宋体"/>
          <w:color w:val="auto"/>
          <w:sz w:val="21"/>
          <w:szCs w:val="21"/>
        </w:rPr>
        <w:t>职务：</w:t>
      </w:r>
      <w:r>
        <w:rPr>
          <w:rFonts w:hint="eastAsia" w:ascii="宋体" w:eastAsia="宋体"/>
          <w:color w:val="auto"/>
          <w:sz w:val="21"/>
          <w:szCs w:val="21"/>
          <w:u w:val="single"/>
        </w:rPr>
        <w:t xml:space="preserve">            </w:t>
      </w:r>
    </w:p>
    <w:p>
      <w:pPr>
        <w:pStyle w:val="27"/>
        <w:spacing w:line="420" w:lineRule="atLeast"/>
        <w:ind w:firstLine="433"/>
        <w:rPr>
          <w:rFonts w:ascii="宋体" w:eastAsia="宋体"/>
          <w:color w:val="auto"/>
          <w:sz w:val="21"/>
          <w:szCs w:val="21"/>
        </w:rPr>
      </w:pPr>
      <w:r>
        <w:rPr>
          <w:rFonts w:hint="eastAsia" w:ascii="宋体" w:eastAsia="宋体"/>
          <w:color w:val="auto"/>
          <w:sz w:val="21"/>
          <w:szCs w:val="21"/>
        </w:rPr>
        <w:t>系</w:t>
      </w:r>
      <w:r>
        <w:rPr>
          <w:rFonts w:hint="eastAsia" w:ascii="宋体" w:eastAsia="宋体"/>
          <w:color w:val="auto"/>
          <w:sz w:val="21"/>
          <w:szCs w:val="21"/>
          <w:u w:val="single"/>
        </w:rPr>
        <w:t xml:space="preserve">                                </w:t>
      </w:r>
      <w:r>
        <w:rPr>
          <w:rFonts w:hint="eastAsia" w:ascii="宋体" w:eastAsia="宋体"/>
          <w:color w:val="auto"/>
          <w:sz w:val="21"/>
          <w:szCs w:val="21"/>
        </w:rPr>
        <w:t>（投标人名称）的法定代表人。</w:t>
      </w:r>
    </w:p>
    <w:p>
      <w:pPr>
        <w:spacing w:line="420" w:lineRule="atLeast"/>
        <w:ind w:firstLine="420" w:firstLineChars="200"/>
        <w:rPr>
          <w:rFonts w:ascii="宋体" w:hAnsi="宋体" w:eastAsia="宋体"/>
          <w:color w:val="auto"/>
          <w:sz w:val="21"/>
          <w:szCs w:val="21"/>
        </w:rPr>
      </w:pPr>
      <w:r>
        <w:rPr>
          <w:rFonts w:hint="eastAsia" w:ascii="宋体" w:hAnsi="宋体" w:eastAsia="宋体"/>
          <w:color w:val="auto"/>
          <w:sz w:val="21"/>
          <w:szCs w:val="21"/>
        </w:rPr>
        <w:t>特此证明。</w:t>
      </w:r>
    </w:p>
    <w:p>
      <w:pPr>
        <w:pStyle w:val="27"/>
        <w:spacing w:line="500" w:lineRule="atLeast"/>
        <w:ind w:firstLine="3517" w:firstLineChars="1675"/>
        <w:rPr>
          <w:rFonts w:ascii="宋体" w:eastAsia="宋体"/>
          <w:color w:val="auto"/>
          <w:sz w:val="21"/>
          <w:szCs w:val="21"/>
        </w:rPr>
      </w:pPr>
    </w:p>
    <w:p>
      <w:pPr>
        <w:pStyle w:val="27"/>
        <w:spacing w:line="500" w:lineRule="atLeast"/>
        <w:ind w:firstLine="3517" w:firstLineChars="1675"/>
        <w:rPr>
          <w:rFonts w:ascii="宋体" w:eastAsia="宋体"/>
          <w:color w:val="auto"/>
          <w:sz w:val="21"/>
          <w:szCs w:val="21"/>
        </w:rPr>
      </w:pPr>
      <w:r>
        <w:rPr>
          <w:rFonts w:hint="eastAsia" w:ascii="宋体" w:eastAsia="宋体"/>
          <w:color w:val="auto"/>
          <w:sz w:val="21"/>
          <w:szCs w:val="21"/>
        </w:rPr>
        <w:t>投标人名称（加盖公章）：</w:t>
      </w:r>
      <w:r>
        <w:rPr>
          <w:rFonts w:hint="eastAsia" w:ascii="宋体" w:eastAsia="宋体"/>
          <w:color w:val="auto"/>
          <w:sz w:val="21"/>
          <w:szCs w:val="21"/>
          <w:u w:val="single"/>
        </w:rPr>
        <w:t xml:space="preserve">                  </w:t>
      </w:r>
    </w:p>
    <w:p>
      <w:pPr>
        <w:pStyle w:val="27"/>
        <w:spacing w:line="500" w:lineRule="atLeast"/>
        <w:ind w:firstLine="3517" w:firstLineChars="1675"/>
        <w:rPr>
          <w:rFonts w:ascii="宋体" w:eastAsia="宋体"/>
          <w:color w:val="auto"/>
          <w:sz w:val="21"/>
          <w:szCs w:val="21"/>
        </w:rPr>
      </w:pPr>
      <w:r>
        <w:rPr>
          <w:rFonts w:hint="eastAsia" w:ascii="宋体" w:eastAsia="宋体"/>
          <w:color w:val="auto"/>
          <w:sz w:val="21"/>
          <w:szCs w:val="21"/>
        </w:rPr>
        <w:t>法定代表人（签名或盖私章）：</w:t>
      </w:r>
      <w:r>
        <w:rPr>
          <w:rFonts w:hint="eastAsia" w:ascii="宋体" w:eastAsia="宋体"/>
          <w:color w:val="auto"/>
          <w:sz w:val="21"/>
          <w:szCs w:val="21"/>
          <w:u w:val="single"/>
        </w:rPr>
        <w:t xml:space="preserve">               </w:t>
      </w:r>
    </w:p>
    <w:p>
      <w:pPr>
        <w:pStyle w:val="27"/>
        <w:spacing w:line="500" w:lineRule="atLeast"/>
        <w:ind w:firstLine="3517" w:firstLineChars="1675"/>
        <w:rPr>
          <w:rFonts w:ascii="宋体" w:eastAsia="宋体"/>
          <w:color w:val="auto"/>
          <w:sz w:val="21"/>
          <w:szCs w:val="21"/>
        </w:rPr>
      </w:pPr>
      <w:r>
        <w:rPr>
          <w:rFonts w:hint="eastAsia" w:ascii="宋体" w:eastAsia="宋体"/>
          <w:color w:val="auto"/>
          <w:sz w:val="21"/>
          <w:szCs w:val="21"/>
        </w:rPr>
        <w:t>法定代表人联系方式：</w:t>
      </w:r>
    </w:p>
    <w:p>
      <w:pPr>
        <w:pStyle w:val="27"/>
        <w:spacing w:line="500" w:lineRule="atLeast"/>
        <w:ind w:firstLine="3517" w:firstLineChars="1675"/>
        <w:rPr>
          <w:rFonts w:ascii="宋体" w:eastAsia="宋体"/>
          <w:color w:val="auto"/>
          <w:sz w:val="21"/>
          <w:szCs w:val="21"/>
          <w:u w:val="single"/>
        </w:rPr>
      </w:pPr>
      <w:r>
        <w:rPr>
          <w:rFonts w:hint="eastAsia" w:ascii="宋体" w:eastAsia="宋体"/>
          <w:color w:val="auto"/>
          <w:sz w:val="21"/>
          <w:szCs w:val="21"/>
        </w:rPr>
        <w:t>身份证号码：</w:t>
      </w:r>
      <w:r>
        <w:rPr>
          <w:rFonts w:hint="eastAsia" w:ascii="宋体" w:eastAsia="宋体"/>
          <w:color w:val="auto"/>
          <w:sz w:val="21"/>
          <w:szCs w:val="21"/>
          <w:u w:val="single"/>
        </w:rPr>
        <w:t xml:space="preserve">                              </w:t>
      </w:r>
    </w:p>
    <w:p>
      <w:pPr>
        <w:pStyle w:val="27"/>
        <w:spacing w:line="500" w:lineRule="atLeast"/>
        <w:ind w:firstLine="3507" w:firstLineChars="1670"/>
        <w:rPr>
          <w:rFonts w:ascii="宋体" w:eastAsia="宋体"/>
          <w:color w:val="auto"/>
          <w:sz w:val="21"/>
          <w:szCs w:val="21"/>
        </w:rPr>
      </w:pPr>
      <w:r>
        <w:rPr>
          <w:rFonts w:hint="eastAsia" w:ascii="宋体" w:eastAsia="宋体"/>
          <w:color w:val="auto"/>
          <w:sz w:val="21"/>
          <w:szCs w:val="21"/>
        </w:rPr>
        <w:t>日     期：</w:t>
      </w:r>
      <w:r>
        <w:rPr>
          <w:rFonts w:hint="eastAsia" w:ascii="宋体" w:eastAsia="宋体"/>
          <w:color w:val="auto"/>
          <w:sz w:val="21"/>
          <w:szCs w:val="21"/>
          <w:u w:val="single"/>
        </w:rPr>
        <w:t xml:space="preserve">         </w:t>
      </w:r>
      <w:r>
        <w:rPr>
          <w:rFonts w:hint="eastAsia" w:ascii="宋体" w:eastAsia="宋体"/>
          <w:color w:val="auto"/>
          <w:sz w:val="21"/>
          <w:szCs w:val="21"/>
        </w:rPr>
        <w:t>年</w:t>
      </w:r>
      <w:r>
        <w:rPr>
          <w:rFonts w:hint="eastAsia" w:ascii="宋体" w:eastAsia="宋体"/>
          <w:color w:val="auto"/>
          <w:sz w:val="21"/>
          <w:szCs w:val="21"/>
          <w:u w:val="single"/>
        </w:rPr>
        <w:t xml:space="preserve">        </w:t>
      </w:r>
      <w:r>
        <w:rPr>
          <w:rFonts w:hint="eastAsia" w:ascii="宋体" w:eastAsia="宋体"/>
          <w:color w:val="auto"/>
          <w:sz w:val="21"/>
          <w:szCs w:val="21"/>
        </w:rPr>
        <w:t>月</w:t>
      </w:r>
      <w:r>
        <w:rPr>
          <w:rFonts w:hint="eastAsia" w:ascii="宋体" w:eastAsia="宋体"/>
          <w:color w:val="auto"/>
          <w:sz w:val="21"/>
          <w:szCs w:val="21"/>
          <w:u w:val="single"/>
        </w:rPr>
        <w:t xml:space="preserve">        </w:t>
      </w:r>
      <w:r>
        <w:rPr>
          <w:rFonts w:hint="eastAsia" w:ascii="宋体" w:eastAsia="宋体"/>
          <w:color w:val="auto"/>
          <w:sz w:val="21"/>
          <w:szCs w:val="21"/>
        </w:rPr>
        <w:t>日</w:t>
      </w:r>
    </w:p>
    <w:p>
      <w:pPr>
        <w:ind w:firstLine="420" w:firstLineChars="200"/>
        <w:rPr>
          <w:rFonts w:ascii="宋体" w:hAnsi="宋体" w:eastAsia="宋体"/>
          <w:color w:val="auto"/>
          <w:sz w:val="21"/>
          <w:szCs w:val="21"/>
        </w:rPr>
      </w:pPr>
    </w:p>
    <w:p>
      <w:pPr>
        <w:ind w:firstLine="420" w:firstLineChars="200"/>
        <w:rPr>
          <w:rFonts w:ascii="宋体" w:hAnsi="宋体" w:eastAsia="宋体"/>
          <w:color w:val="auto"/>
          <w:sz w:val="21"/>
          <w:szCs w:val="21"/>
        </w:rPr>
      </w:pPr>
      <w:r>
        <w:rPr>
          <w:rFonts w:hint="eastAsia" w:ascii="宋体" w:hAnsi="宋体" w:eastAsia="宋体"/>
          <w:color w:val="auto"/>
          <w:sz w:val="21"/>
          <w:szCs w:val="21"/>
        </w:rPr>
        <w:t>注：法定代表人身份证明书需附法人代表身份证复印件。</w:t>
      </w:r>
    </w:p>
    <w:tbl>
      <w:tblPr>
        <w:tblStyle w:val="16"/>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17" w:hRule="atLeast"/>
          <w:jc w:val="center"/>
        </w:trPr>
        <w:tc>
          <w:tcPr>
            <w:tcW w:w="4182" w:type="dxa"/>
            <w:vAlign w:val="center"/>
          </w:tcPr>
          <w:p>
            <w:pPr>
              <w:pStyle w:val="27"/>
              <w:spacing w:line="460" w:lineRule="exact"/>
              <w:ind w:firstLine="0" w:firstLineChars="0"/>
              <w:jc w:val="center"/>
              <w:rPr>
                <w:rFonts w:ascii="宋体" w:eastAsia="宋体"/>
                <w:color w:val="auto"/>
                <w:sz w:val="22"/>
              </w:rPr>
            </w:pPr>
            <w:r>
              <w:rPr>
                <w:rFonts w:hint="eastAsia" w:ascii="宋体" w:eastAsia="宋体"/>
                <w:color w:val="auto"/>
                <w:sz w:val="22"/>
              </w:rPr>
              <w:t>正面</w:t>
            </w:r>
          </w:p>
        </w:tc>
        <w:tc>
          <w:tcPr>
            <w:tcW w:w="4182" w:type="dxa"/>
            <w:vAlign w:val="center"/>
          </w:tcPr>
          <w:p>
            <w:pPr>
              <w:pStyle w:val="27"/>
              <w:spacing w:line="460" w:lineRule="exact"/>
              <w:ind w:firstLine="0" w:firstLineChars="0"/>
              <w:jc w:val="center"/>
              <w:rPr>
                <w:rFonts w:ascii="宋体" w:eastAsia="宋体"/>
                <w:color w:val="auto"/>
                <w:sz w:val="22"/>
              </w:rPr>
            </w:pPr>
            <w:r>
              <w:rPr>
                <w:rFonts w:hint="eastAsia" w:ascii="宋体" w:eastAsia="宋体"/>
                <w:color w:val="auto"/>
                <w:sz w:val="22"/>
              </w:rPr>
              <w:t>背面</w:t>
            </w:r>
          </w:p>
        </w:tc>
      </w:tr>
    </w:tbl>
    <w:p>
      <w:pPr>
        <w:rPr>
          <w:color w:val="auto"/>
        </w:rPr>
      </w:pPr>
    </w:p>
    <w:p>
      <w:pPr>
        <w:adjustRightInd/>
        <w:snapToGrid/>
        <w:spacing w:line="276" w:lineRule="auto"/>
        <w:rPr>
          <w:rFonts w:ascii="楷体_GB2312" w:eastAsia="楷体_GB2312" w:hAnsiTheme="majorHAnsi" w:cstheme="majorBidi"/>
          <w:b/>
          <w:bCs/>
          <w:color w:val="auto"/>
          <w:sz w:val="24"/>
          <w:szCs w:val="28"/>
        </w:rPr>
      </w:pPr>
      <w:r>
        <w:rPr>
          <w:rFonts w:ascii="楷体_GB2312" w:eastAsia="楷体_GB2312"/>
          <w:color w:val="auto"/>
          <w:sz w:val="24"/>
        </w:rPr>
        <w:br w:type="page"/>
      </w:r>
    </w:p>
    <w:p>
      <w:pPr>
        <w:pStyle w:val="6"/>
        <w:widowControl w:val="0"/>
        <w:overflowPunct w:val="0"/>
        <w:spacing w:before="0" w:after="0" w:line="240" w:lineRule="auto"/>
        <w:rPr>
          <w:color w:val="auto"/>
        </w:rPr>
      </w:pPr>
      <w:bookmarkStart w:id="144" w:name="_Toc31205"/>
      <w:r>
        <w:rPr>
          <w:rFonts w:hint="eastAsia" w:ascii="宋体" w:hAnsi="宋体" w:eastAsia="宋体"/>
          <w:color w:val="auto"/>
          <w:sz w:val="21"/>
          <w:szCs w:val="21"/>
        </w:rPr>
        <w:t>附件6.法定代表人授权书格式</w:t>
      </w:r>
      <w:bookmarkEnd w:id="144"/>
    </w:p>
    <w:p>
      <w:pPr>
        <w:rPr>
          <w:color w:val="auto"/>
        </w:rPr>
      </w:pPr>
    </w:p>
    <w:p>
      <w:pPr>
        <w:jc w:val="center"/>
        <w:rPr>
          <w:rFonts w:ascii="黑体" w:eastAsia="黑体"/>
          <w:color w:val="auto"/>
          <w:sz w:val="28"/>
          <w:szCs w:val="28"/>
        </w:rPr>
      </w:pPr>
      <w:r>
        <w:rPr>
          <w:rFonts w:hint="eastAsia" w:ascii="黑体" w:eastAsia="黑体"/>
          <w:color w:val="auto"/>
          <w:sz w:val="28"/>
          <w:szCs w:val="28"/>
        </w:rPr>
        <w:t>法定代表人授权书</w:t>
      </w:r>
    </w:p>
    <w:p>
      <w:pPr>
        <w:pStyle w:val="27"/>
        <w:spacing w:line="420" w:lineRule="atLeast"/>
        <w:ind w:firstLine="0" w:firstLineChars="0"/>
        <w:rPr>
          <w:rFonts w:ascii="宋体" w:eastAsia="宋体"/>
          <w:color w:val="auto"/>
          <w:sz w:val="21"/>
          <w:szCs w:val="21"/>
        </w:rPr>
      </w:pPr>
      <w:r>
        <w:rPr>
          <w:rFonts w:hint="eastAsia" w:ascii="宋体" w:eastAsia="宋体"/>
          <w:color w:val="auto"/>
          <w:sz w:val="21"/>
          <w:szCs w:val="21"/>
        </w:rPr>
        <w:t>致：广东三方诚信招标有限公司东莞分公司</w:t>
      </w:r>
    </w:p>
    <w:p>
      <w:pPr>
        <w:pStyle w:val="27"/>
        <w:spacing w:line="420" w:lineRule="atLeast"/>
        <w:ind w:firstLine="433"/>
        <w:rPr>
          <w:rFonts w:ascii="宋体" w:eastAsia="宋体"/>
          <w:color w:val="auto"/>
          <w:sz w:val="21"/>
          <w:szCs w:val="21"/>
        </w:rPr>
      </w:pPr>
    </w:p>
    <w:p>
      <w:pPr>
        <w:spacing w:after="0" w:line="360" w:lineRule="auto"/>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本授权书声明：注册于</w:t>
      </w:r>
      <w:r>
        <w:rPr>
          <w:rFonts w:hint="eastAsia" w:ascii="宋体" w:hAnsi="宋体" w:eastAsia="宋体" w:cs="Times New Roman"/>
          <w:color w:val="auto"/>
          <w:sz w:val="21"/>
          <w:szCs w:val="21"/>
          <w:u w:val="single"/>
        </w:rPr>
        <w:t>（国家或地区的名称）</w:t>
      </w:r>
      <w:r>
        <w:rPr>
          <w:rFonts w:hint="eastAsia" w:ascii="宋体" w:hAnsi="宋体" w:eastAsia="宋体" w:cs="Times New Roman"/>
          <w:color w:val="auto"/>
          <w:sz w:val="21"/>
          <w:szCs w:val="21"/>
        </w:rPr>
        <w:t>的</w:t>
      </w:r>
      <w:r>
        <w:rPr>
          <w:rFonts w:hint="eastAsia" w:ascii="宋体" w:hAnsi="宋体" w:eastAsia="宋体" w:cs="Times New Roman"/>
          <w:color w:val="auto"/>
          <w:sz w:val="21"/>
          <w:szCs w:val="21"/>
          <w:u w:val="single"/>
        </w:rPr>
        <w:t>（单位名称）</w:t>
      </w:r>
      <w:r>
        <w:rPr>
          <w:rFonts w:hint="eastAsia" w:ascii="宋体" w:hAnsi="宋体" w:eastAsia="宋体" w:cs="Times New Roman"/>
          <w:color w:val="auto"/>
          <w:sz w:val="21"/>
          <w:szCs w:val="21"/>
        </w:rPr>
        <w:t>的在下面签字的</w:t>
      </w:r>
      <w:r>
        <w:rPr>
          <w:rFonts w:hint="eastAsia" w:ascii="宋体" w:hAnsi="宋体" w:eastAsia="宋体" w:cs="Times New Roman"/>
          <w:color w:val="auto"/>
          <w:sz w:val="21"/>
          <w:szCs w:val="21"/>
          <w:u w:val="single"/>
        </w:rPr>
        <w:t>（法定代表人姓名、职务）</w:t>
      </w:r>
      <w:r>
        <w:rPr>
          <w:rFonts w:hint="eastAsia" w:ascii="宋体" w:hAnsi="宋体" w:eastAsia="宋体" w:cs="Times New Roman"/>
          <w:color w:val="auto"/>
          <w:sz w:val="21"/>
          <w:szCs w:val="21"/>
        </w:rPr>
        <w:t>代表本单位授权</w:t>
      </w:r>
      <w:r>
        <w:rPr>
          <w:rFonts w:hint="eastAsia" w:ascii="宋体" w:hAnsi="宋体" w:eastAsia="宋体" w:cs="Times New Roman"/>
          <w:color w:val="auto"/>
          <w:sz w:val="21"/>
          <w:szCs w:val="21"/>
          <w:u w:val="single"/>
        </w:rPr>
        <w:t>（单位名称）</w:t>
      </w:r>
      <w:r>
        <w:rPr>
          <w:rFonts w:hint="eastAsia" w:ascii="宋体" w:hAnsi="宋体" w:eastAsia="宋体" w:cs="Times New Roman"/>
          <w:color w:val="auto"/>
          <w:sz w:val="21"/>
          <w:szCs w:val="21"/>
        </w:rPr>
        <w:t>的在下面签字的</w:t>
      </w:r>
      <w:r>
        <w:rPr>
          <w:rFonts w:hint="eastAsia" w:ascii="宋体" w:hAnsi="宋体" w:eastAsia="宋体" w:cs="Times New Roman"/>
          <w:color w:val="auto"/>
          <w:sz w:val="21"/>
          <w:szCs w:val="21"/>
          <w:u w:val="single"/>
        </w:rPr>
        <w:t>（被授权人的姓名、职务）</w:t>
      </w:r>
      <w:r>
        <w:rPr>
          <w:rFonts w:hint="eastAsia" w:ascii="宋体" w:hAnsi="宋体" w:eastAsia="宋体" w:cs="Times New Roman"/>
          <w:color w:val="auto"/>
          <w:sz w:val="21"/>
          <w:szCs w:val="21"/>
        </w:rPr>
        <w:t>为本单位的合法代理人，就</w:t>
      </w:r>
      <w:r>
        <w:rPr>
          <w:rFonts w:hint="eastAsia" w:ascii="宋体" w:hAnsi="宋体" w:eastAsia="宋体" w:cs="Times New Roman"/>
          <w:color w:val="auto"/>
          <w:sz w:val="21"/>
          <w:szCs w:val="21"/>
          <w:u w:val="single"/>
        </w:rPr>
        <w:t>（项目名称）</w:t>
      </w:r>
      <w:r>
        <w:rPr>
          <w:rFonts w:hint="eastAsia" w:ascii="宋体" w:hAnsi="宋体" w:eastAsia="宋体" w:cs="Times New Roman"/>
          <w:color w:val="auto"/>
          <w:sz w:val="21"/>
          <w:szCs w:val="21"/>
        </w:rPr>
        <w:t>投标及参加项目谈判，以本单位名义处理一切与之有关的事务。</w:t>
      </w:r>
    </w:p>
    <w:p>
      <w:pPr>
        <w:spacing w:after="0" w:line="360" w:lineRule="auto"/>
        <w:ind w:firstLine="315" w:firstLineChars="150"/>
        <w:rPr>
          <w:rFonts w:ascii="宋体" w:hAnsi="宋体" w:eastAsia="宋体" w:cs="Times New Roman"/>
          <w:color w:val="auto"/>
          <w:sz w:val="21"/>
          <w:szCs w:val="21"/>
        </w:rPr>
      </w:pPr>
      <w:r>
        <w:rPr>
          <w:rFonts w:hint="eastAsia" w:ascii="宋体" w:hAnsi="宋体" w:eastAsia="宋体" w:cs="Times New Roman"/>
          <w:color w:val="auto"/>
          <w:sz w:val="21"/>
          <w:szCs w:val="21"/>
        </w:rPr>
        <w:t>本授权书于</w:t>
      </w:r>
      <w:r>
        <w:rPr>
          <w:rFonts w:hint="eastAsia" w:ascii="宋体" w:hAnsi="宋体" w:eastAsia="宋体" w:cs="Times New Roman"/>
          <w:color w:val="auto"/>
          <w:sz w:val="21"/>
          <w:szCs w:val="21"/>
          <w:u w:val="single"/>
        </w:rPr>
        <w:t>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u w:val="single"/>
        </w:rPr>
        <w:t>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u w:val="single"/>
        </w:rPr>
        <w:t>　　</w:t>
      </w:r>
      <w:r>
        <w:rPr>
          <w:rFonts w:hint="eastAsia" w:ascii="宋体" w:hAnsi="宋体" w:eastAsia="宋体" w:cs="Times New Roman"/>
          <w:color w:val="auto"/>
          <w:sz w:val="21"/>
          <w:szCs w:val="21"/>
        </w:rPr>
        <w:t>日签字生效，特此声明。</w:t>
      </w:r>
    </w:p>
    <w:p>
      <w:pPr>
        <w:pStyle w:val="27"/>
        <w:spacing w:line="500" w:lineRule="atLeast"/>
        <w:ind w:firstLine="3517" w:firstLineChars="1675"/>
        <w:rPr>
          <w:rFonts w:ascii="宋体" w:eastAsia="宋体"/>
          <w:color w:val="auto"/>
          <w:sz w:val="21"/>
          <w:szCs w:val="21"/>
        </w:rPr>
      </w:pPr>
    </w:p>
    <w:p>
      <w:pPr>
        <w:pStyle w:val="27"/>
        <w:spacing w:line="500" w:lineRule="atLeast"/>
        <w:ind w:firstLine="3517" w:firstLineChars="1675"/>
        <w:rPr>
          <w:rFonts w:ascii="宋体" w:eastAsia="宋体"/>
          <w:color w:val="auto"/>
          <w:sz w:val="21"/>
          <w:szCs w:val="21"/>
        </w:rPr>
      </w:pPr>
      <w:r>
        <w:rPr>
          <w:rFonts w:hint="eastAsia" w:ascii="宋体" w:eastAsia="宋体"/>
          <w:color w:val="auto"/>
          <w:sz w:val="21"/>
          <w:szCs w:val="21"/>
        </w:rPr>
        <w:t>投标人名称（加盖公章）：</w:t>
      </w:r>
      <w:r>
        <w:rPr>
          <w:rFonts w:hint="eastAsia" w:ascii="宋体" w:eastAsia="宋体"/>
          <w:color w:val="auto"/>
          <w:sz w:val="21"/>
          <w:szCs w:val="21"/>
          <w:u w:val="single"/>
        </w:rPr>
        <w:t xml:space="preserve">                 </w:t>
      </w:r>
    </w:p>
    <w:p>
      <w:pPr>
        <w:pStyle w:val="27"/>
        <w:spacing w:line="500" w:lineRule="atLeast"/>
        <w:ind w:firstLine="3517" w:firstLineChars="1675"/>
        <w:rPr>
          <w:rFonts w:ascii="宋体" w:eastAsia="宋体"/>
          <w:color w:val="auto"/>
          <w:sz w:val="21"/>
          <w:szCs w:val="21"/>
          <w:u w:val="single"/>
        </w:rPr>
      </w:pPr>
      <w:r>
        <w:rPr>
          <w:rFonts w:hint="eastAsia" w:ascii="宋体" w:eastAsia="宋体"/>
          <w:color w:val="auto"/>
          <w:sz w:val="21"/>
          <w:szCs w:val="21"/>
        </w:rPr>
        <w:t>法定代表人签字（签名或盖私章）：</w:t>
      </w:r>
      <w:r>
        <w:rPr>
          <w:rFonts w:hint="eastAsia" w:ascii="宋体" w:eastAsia="宋体"/>
          <w:color w:val="auto"/>
          <w:sz w:val="21"/>
          <w:szCs w:val="21"/>
          <w:u w:val="single"/>
        </w:rPr>
        <w:t xml:space="preserve">               </w:t>
      </w:r>
    </w:p>
    <w:p>
      <w:pPr>
        <w:pStyle w:val="27"/>
        <w:spacing w:line="500" w:lineRule="atLeast"/>
        <w:ind w:firstLine="3517" w:firstLineChars="1675"/>
        <w:rPr>
          <w:rFonts w:ascii="宋体" w:eastAsia="宋体"/>
          <w:color w:val="auto"/>
          <w:sz w:val="21"/>
          <w:szCs w:val="21"/>
        </w:rPr>
      </w:pPr>
      <w:r>
        <w:rPr>
          <w:rFonts w:hint="eastAsia" w:ascii="宋体" w:eastAsia="宋体"/>
          <w:color w:val="auto"/>
          <w:sz w:val="21"/>
          <w:szCs w:val="21"/>
        </w:rPr>
        <w:t>被授权人签字：</w:t>
      </w:r>
    </w:p>
    <w:p>
      <w:pPr>
        <w:pStyle w:val="27"/>
        <w:spacing w:line="500" w:lineRule="atLeast"/>
        <w:ind w:firstLine="3517" w:firstLineChars="1675"/>
        <w:rPr>
          <w:rFonts w:ascii="宋体" w:eastAsia="宋体"/>
          <w:color w:val="auto"/>
          <w:sz w:val="21"/>
          <w:szCs w:val="21"/>
          <w:u w:val="single"/>
        </w:rPr>
      </w:pPr>
      <w:r>
        <w:rPr>
          <w:rFonts w:hint="eastAsia" w:ascii="宋体" w:eastAsia="宋体"/>
          <w:color w:val="auto"/>
          <w:sz w:val="21"/>
          <w:szCs w:val="21"/>
        </w:rPr>
        <w:t>职务：</w:t>
      </w:r>
      <w:r>
        <w:rPr>
          <w:rFonts w:hint="eastAsia" w:ascii="宋体" w:eastAsia="宋体"/>
          <w:color w:val="auto"/>
          <w:sz w:val="21"/>
          <w:szCs w:val="21"/>
          <w:u w:val="single"/>
        </w:rPr>
        <w:t xml:space="preserve">   </w:t>
      </w:r>
    </w:p>
    <w:p>
      <w:pPr>
        <w:pStyle w:val="27"/>
        <w:spacing w:line="500" w:lineRule="atLeast"/>
        <w:ind w:firstLine="3517" w:firstLineChars="1675"/>
        <w:rPr>
          <w:rFonts w:ascii="宋体" w:eastAsia="宋体"/>
          <w:color w:val="auto"/>
          <w:sz w:val="21"/>
          <w:szCs w:val="21"/>
        </w:rPr>
      </w:pPr>
      <w:r>
        <w:rPr>
          <w:rFonts w:hint="eastAsia" w:ascii="宋体" w:eastAsia="宋体"/>
          <w:color w:val="auto"/>
          <w:sz w:val="21"/>
          <w:szCs w:val="21"/>
        </w:rPr>
        <w:t xml:space="preserve">移动电话： </w:t>
      </w:r>
    </w:p>
    <w:p>
      <w:pPr>
        <w:pStyle w:val="27"/>
        <w:spacing w:line="500" w:lineRule="atLeast"/>
        <w:ind w:firstLine="3517" w:firstLineChars="1675"/>
        <w:rPr>
          <w:rFonts w:ascii="宋体" w:eastAsia="宋体"/>
          <w:color w:val="auto"/>
          <w:sz w:val="21"/>
          <w:szCs w:val="21"/>
        </w:rPr>
      </w:pPr>
      <w:r>
        <w:rPr>
          <w:rFonts w:hint="eastAsia" w:ascii="宋体" w:eastAsia="宋体"/>
          <w:color w:val="auto"/>
          <w:sz w:val="21"/>
          <w:szCs w:val="21"/>
        </w:rPr>
        <w:t>详细通讯地址：</w:t>
      </w:r>
    </w:p>
    <w:p>
      <w:pPr>
        <w:pStyle w:val="27"/>
        <w:spacing w:line="500" w:lineRule="atLeast"/>
        <w:ind w:firstLine="3517" w:firstLineChars="1675"/>
        <w:rPr>
          <w:rFonts w:ascii="宋体" w:eastAsia="宋体"/>
          <w:color w:val="auto"/>
          <w:sz w:val="21"/>
          <w:szCs w:val="21"/>
        </w:rPr>
      </w:pPr>
      <w:r>
        <w:rPr>
          <w:rFonts w:hint="eastAsia" w:ascii="宋体" w:eastAsia="宋体"/>
          <w:color w:val="auto"/>
          <w:sz w:val="21"/>
          <w:szCs w:val="21"/>
        </w:rPr>
        <w:t xml:space="preserve">邮箱：                          </w:t>
      </w:r>
    </w:p>
    <w:p>
      <w:pPr>
        <w:pStyle w:val="27"/>
        <w:spacing w:line="500" w:lineRule="atLeast"/>
        <w:ind w:firstLine="3507" w:firstLineChars="1670"/>
        <w:rPr>
          <w:rFonts w:ascii="宋体" w:eastAsia="宋体"/>
          <w:color w:val="auto"/>
          <w:sz w:val="21"/>
          <w:szCs w:val="21"/>
        </w:rPr>
      </w:pPr>
      <w:r>
        <w:rPr>
          <w:rFonts w:hint="eastAsia" w:ascii="宋体" w:eastAsia="宋体"/>
          <w:color w:val="auto"/>
          <w:sz w:val="21"/>
          <w:szCs w:val="21"/>
        </w:rPr>
        <w:t>日     期：</w:t>
      </w:r>
      <w:r>
        <w:rPr>
          <w:rFonts w:hint="eastAsia" w:ascii="宋体" w:eastAsia="宋体"/>
          <w:color w:val="auto"/>
          <w:sz w:val="21"/>
          <w:szCs w:val="21"/>
          <w:u w:val="single"/>
        </w:rPr>
        <w:t xml:space="preserve">         </w:t>
      </w:r>
      <w:r>
        <w:rPr>
          <w:rFonts w:hint="eastAsia" w:ascii="宋体" w:eastAsia="宋体"/>
          <w:color w:val="auto"/>
          <w:sz w:val="21"/>
          <w:szCs w:val="21"/>
        </w:rPr>
        <w:t>年</w:t>
      </w:r>
      <w:r>
        <w:rPr>
          <w:rFonts w:hint="eastAsia" w:ascii="宋体" w:eastAsia="宋体"/>
          <w:color w:val="auto"/>
          <w:sz w:val="21"/>
          <w:szCs w:val="21"/>
          <w:u w:val="single"/>
        </w:rPr>
        <w:t xml:space="preserve">        </w:t>
      </w:r>
      <w:r>
        <w:rPr>
          <w:rFonts w:hint="eastAsia" w:ascii="宋体" w:eastAsia="宋体"/>
          <w:color w:val="auto"/>
          <w:sz w:val="21"/>
          <w:szCs w:val="21"/>
        </w:rPr>
        <w:t>月</w:t>
      </w:r>
      <w:r>
        <w:rPr>
          <w:rFonts w:hint="eastAsia" w:ascii="宋体" w:eastAsia="宋体"/>
          <w:color w:val="auto"/>
          <w:sz w:val="21"/>
          <w:szCs w:val="21"/>
          <w:u w:val="single"/>
        </w:rPr>
        <w:t xml:space="preserve">        </w:t>
      </w:r>
      <w:r>
        <w:rPr>
          <w:rFonts w:hint="eastAsia" w:ascii="宋体" w:eastAsia="宋体"/>
          <w:color w:val="auto"/>
          <w:sz w:val="21"/>
          <w:szCs w:val="21"/>
        </w:rPr>
        <w:t>日</w:t>
      </w:r>
    </w:p>
    <w:p>
      <w:pPr>
        <w:pStyle w:val="27"/>
        <w:spacing w:line="460" w:lineRule="exact"/>
        <w:ind w:firstLine="433"/>
        <w:rPr>
          <w:rFonts w:ascii="宋体" w:eastAsia="宋体"/>
          <w:color w:val="auto"/>
          <w:sz w:val="21"/>
          <w:szCs w:val="21"/>
        </w:rPr>
      </w:pPr>
    </w:p>
    <w:p>
      <w:pPr>
        <w:ind w:firstLine="420" w:firstLineChars="200"/>
        <w:rPr>
          <w:rFonts w:eastAsia="宋体"/>
          <w:color w:val="auto"/>
        </w:rPr>
      </w:pPr>
      <w:r>
        <w:rPr>
          <w:rFonts w:hint="eastAsia" w:ascii="宋体" w:hAnsi="宋体" w:eastAsia="宋体"/>
          <w:color w:val="auto"/>
          <w:sz w:val="21"/>
          <w:szCs w:val="21"/>
        </w:rPr>
        <w:t>须附：被授权人身份证复印件。</w:t>
      </w:r>
    </w:p>
    <w:tbl>
      <w:tblPr>
        <w:tblStyle w:val="16"/>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27"/>
              <w:spacing w:line="460" w:lineRule="exact"/>
              <w:ind w:firstLine="0" w:firstLineChars="0"/>
              <w:jc w:val="center"/>
              <w:rPr>
                <w:rFonts w:ascii="宋体" w:eastAsia="宋体"/>
                <w:color w:val="auto"/>
                <w:sz w:val="22"/>
              </w:rPr>
            </w:pPr>
            <w:r>
              <w:rPr>
                <w:rFonts w:hint="eastAsia" w:ascii="宋体" w:eastAsia="宋体"/>
                <w:color w:val="auto"/>
                <w:sz w:val="22"/>
              </w:rPr>
              <w:t>正面</w:t>
            </w:r>
          </w:p>
        </w:tc>
        <w:tc>
          <w:tcPr>
            <w:tcW w:w="4232" w:type="dxa"/>
            <w:vAlign w:val="center"/>
          </w:tcPr>
          <w:p>
            <w:pPr>
              <w:pStyle w:val="27"/>
              <w:spacing w:line="460" w:lineRule="exact"/>
              <w:ind w:firstLine="0" w:firstLineChars="0"/>
              <w:jc w:val="center"/>
              <w:rPr>
                <w:rFonts w:ascii="宋体" w:eastAsia="宋体"/>
                <w:color w:val="auto"/>
                <w:sz w:val="22"/>
              </w:rPr>
            </w:pPr>
            <w:r>
              <w:rPr>
                <w:rFonts w:hint="eastAsia" w:ascii="宋体" w:eastAsia="宋体"/>
                <w:color w:val="auto"/>
                <w:sz w:val="22"/>
              </w:rPr>
              <w:t>背面</w:t>
            </w:r>
          </w:p>
        </w:tc>
      </w:tr>
    </w:tbl>
    <w:p>
      <w:pPr>
        <w:adjustRightInd/>
        <w:snapToGrid/>
        <w:spacing w:line="276" w:lineRule="auto"/>
        <w:rPr>
          <w:color w:val="auto"/>
        </w:rPr>
      </w:pPr>
      <w:bookmarkStart w:id="145" w:name="_Toc22486"/>
      <w:r>
        <w:rPr>
          <w:rFonts w:hint="eastAsia" w:ascii="宋体" w:hAnsi="宋体" w:eastAsia="宋体"/>
          <w:color w:val="auto"/>
          <w:sz w:val="21"/>
          <w:szCs w:val="21"/>
        </w:rPr>
        <w:br w:type="page"/>
      </w:r>
    </w:p>
    <w:p>
      <w:pPr>
        <w:pStyle w:val="6"/>
        <w:widowControl w:val="0"/>
        <w:overflowPunct w:val="0"/>
        <w:spacing w:before="0" w:after="0" w:line="240" w:lineRule="auto"/>
        <w:rPr>
          <w:rFonts w:ascii="宋体" w:hAnsi="宋体" w:eastAsia="宋体"/>
          <w:color w:val="auto"/>
          <w:sz w:val="21"/>
          <w:szCs w:val="21"/>
        </w:rPr>
      </w:pPr>
      <w:bookmarkStart w:id="146" w:name="_Toc17164"/>
      <w:r>
        <w:rPr>
          <w:rFonts w:hint="eastAsia" w:ascii="宋体" w:hAnsi="宋体" w:eastAsia="宋体"/>
          <w:color w:val="auto"/>
          <w:sz w:val="21"/>
          <w:szCs w:val="21"/>
        </w:rPr>
        <w:t>附件7.资格申明</w:t>
      </w:r>
      <w:bookmarkEnd w:id="146"/>
    </w:p>
    <w:p>
      <w:pPr>
        <w:jc w:val="center"/>
        <w:rPr>
          <w:rFonts w:ascii="黑体" w:eastAsia="黑体"/>
          <w:color w:val="auto"/>
          <w:sz w:val="28"/>
          <w:szCs w:val="28"/>
        </w:rPr>
      </w:pPr>
      <w:r>
        <w:rPr>
          <w:rFonts w:hint="eastAsia" w:ascii="黑体" w:eastAsia="黑体"/>
          <w:color w:val="auto"/>
          <w:sz w:val="28"/>
          <w:szCs w:val="28"/>
        </w:rPr>
        <w:t>资格申明</w:t>
      </w:r>
    </w:p>
    <w:p>
      <w:pPr>
        <w:pStyle w:val="27"/>
        <w:spacing w:line="420" w:lineRule="atLeast"/>
        <w:ind w:firstLine="0" w:firstLineChars="0"/>
        <w:rPr>
          <w:rFonts w:ascii="宋体" w:eastAsia="宋体"/>
          <w:color w:val="auto"/>
          <w:sz w:val="21"/>
          <w:szCs w:val="21"/>
        </w:rPr>
      </w:pPr>
      <w:r>
        <w:rPr>
          <w:rFonts w:hint="eastAsia" w:ascii="宋体" w:eastAsia="宋体"/>
          <w:color w:val="auto"/>
          <w:sz w:val="21"/>
          <w:szCs w:val="21"/>
        </w:rPr>
        <w:t>广东三方诚信招标有限公司东莞分公司：</w:t>
      </w:r>
    </w:p>
    <w:p>
      <w:pPr>
        <w:spacing w:after="0" w:line="360" w:lineRule="auto"/>
        <w:ind w:firstLine="420" w:firstLineChars="200"/>
        <w:rPr>
          <w:rFonts w:ascii="宋体" w:hAnsi="宋体" w:eastAsia="宋体"/>
          <w:color w:val="auto"/>
          <w:sz w:val="21"/>
          <w:szCs w:val="21"/>
        </w:rPr>
      </w:pP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我方</w:t>
      </w:r>
      <w:r>
        <w:rPr>
          <w:rFonts w:ascii="宋体" w:hAnsi="宋体" w:eastAsia="宋体"/>
          <w:color w:val="auto"/>
          <w:sz w:val="21"/>
          <w:szCs w:val="21"/>
        </w:rPr>
        <w:t>愿响应</w:t>
      </w:r>
      <w:r>
        <w:rPr>
          <w:rFonts w:hint="eastAsia" w:ascii="宋体" w:hAnsi="宋体" w:eastAsia="宋体"/>
          <w:color w:val="auto"/>
          <w:sz w:val="21"/>
          <w:szCs w:val="21"/>
        </w:rPr>
        <w:t>贵</w:t>
      </w:r>
      <w:r>
        <w:rPr>
          <w:rFonts w:ascii="宋体" w:hAnsi="宋体" w:eastAsia="宋体"/>
          <w:color w:val="auto"/>
          <w:sz w:val="21"/>
          <w:szCs w:val="21"/>
        </w:rPr>
        <w:t>方</w:t>
      </w:r>
      <w:r>
        <w:rPr>
          <w:rFonts w:hint="eastAsia" w:ascii="宋体" w:hAnsi="宋体" w:eastAsia="宋体"/>
          <w:color w:val="auto"/>
          <w:sz w:val="21"/>
          <w:szCs w:val="21"/>
        </w:rPr>
        <w:t>关于（项目名称）</w:t>
      </w:r>
      <w:r>
        <w:rPr>
          <w:rFonts w:ascii="宋体" w:hAnsi="宋体" w:eastAsia="宋体"/>
          <w:color w:val="auto"/>
          <w:sz w:val="21"/>
          <w:szCs w:val="21"/>
        </w:rPr>
        <w:t>（</w:t>
      </w:r>
      <w:r>
        <w:rPr>
          <w:rFonts w:hint="eastAsia" w:ascii="宋体" w:hAnsi="宋体" w:eastAsia="宋体"/>
          <w:color w:val="auto"/>
          <w:sz w:val="21"/>
          <w:szCs w:val="21"/>
        </w:rPr>
        <w:t>采购项目编号</w:t>
      </w:r>
      <w:r>
        <w:rPr>
          <w:rFonts w:ascii="宋体" w:hAnsi="宋体" w:eastAsia="宋体"/>
          <w:color w:val="auto"/>
          <w:sz w:val="21"/>
          <w:szCs w:val="21"/>
        </w:rPr>
        <w:t>）</w:t>
      </w:r>
      <w:r>
        <w:rPr>
          <w:rFonts w:hint="eastAsia" w:ascii="宋体" w:hAnsi="宋体" w:eastAsia="宋体"/>
          <w:color w:val="auto"/>
          <w:sz w:val="21"/>
          <w:szCs w:val="21"/>
        </w:rPr>
        <w:t>的</w:t>
      </w:r>
      <w:r>
        <w:rPr>
          <w:rFonts w:ascii="宋体" w:hAnsi="宋体" w:eastAsia="宋体"/>
          <w:color w:val="auto"/>
          <w:sz w:val="21"/>
          <w:szCs w:val="21"/>
        </w:rPr>
        <w:t>投标邀请，参与投标，提供用户需求书中规定的</w:t>
      </w:r>
      <w:r>
        <w:rPr>
          <w:rFonts w:hint="eastAsia" w:ascii="宋体" w:hAnsi="宋体" w:eastAsia="宋体"/>
          <w:color w:val="auto"/>
          <w:sz w:val="21"/>
          <w:szCs w:val="21"/>
        </w:rPr>
        <w:t>货物及相关服务</w:t>
      </w:r>
      <w:r>
        <w:rPr>
          <w:rFonts w:ascii="宋体" w:hAnsi="宋体" w:eastAsia="宋体"/>
          <w:color w:val="auto"/>
          <w:sz w:val="21"/>
          <w:szCs w:val="21"/>
        </w:rPr>
        <w:t>，并按招标文件要求提交所附资格文件且声明和保证如下：</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一、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二、</w:t>
      </w:r>
      <w:r>
        <w:rPr>
          <w:rFonts w:ascii="宋体" w:hAnsi="宋体" w:eastAsia="宋体"/>
          <w:color w:val="auto"/>
          <w:sz w:val="21"/>
          <w:szCs w:val="21"/>
        </w:rPr>
        <w:t>我方依法注册，在法律上、财务上和运作上完全独立于（采购人名称）（采购人）及</w:t>
      </w:r>
      <w:r>
        <w:rPr>
          <w:rFonts w:hint="eastAsia" w:ascii="宋体" w:hAnsi="宋体" w:eastAsia="宋体"/>
          <w:color w:val="auto"/>
          <w:sz w:val="21"/>
          <w:szCs w:val="21"/>
        </w:rPr>
        <w:t>广东三方诚信招标有限公司东莞分公司</w:t>
      </w:r>
      <w:r>
        <w:rPr>
          <w:rFonts w:ascii="宋体" w:hAnsi="宋体" w:eastAsia="宋体"/>
          <w:color w:val="auto"/>
          <w:sz w:val="21"/>
          <w:szCs w:val="21"/>
        </w:rPr>
        <w:t>（采购代理机构）</w:t>
      </w:r>
      <w:r>
        <w:rPr>
          <w:rFonts w:hint="eastAsia" w:ascii="宋体" w:hAnsi="宋体" w:eastAsia="宋体"/>
          <w:color w:val="auto"/>
          <w:sz w:val="21"/>
          <w:szCs w:val="21"/>
        </w:rPr>
        <w:t>。</w:t>
      </w:r>
    </w:p>
    <w:p>
      <w:pPr>
        <w:pStyle w:val="27"/>
        <w:spacing w:line="500" w:lineRule="atLeast"/>
        <w:ind w:firstLine="3517" w:firstLineChars="1675"/>
        <w:rPr>
          <w:rFonts w:ascii="宋体" w:eastAsia="宋体"/>
          <w:color w:val="auto"/>
          <w:sz w:val="21"/>
          <w:szCs w:val="21"/>
        </w:rPr>
      </w:pPr>
    </w:p>
    <w:p>
      <w:pPr>
        <w:pStyle w:val="27"/>
        <w:spacing w:line="500" w:lineRule="atLeast"/>
        <w:ind w:firstLine="3517" w:firstLineChars="1675"/>
        <w:rPr>
          <w:rFonts w:ascii="宋体" w:eastAsia="宋体"/>
          <w:color w:val="auto"/>
          <w:sz w:val="21"/>
          <w:szCs w:val="21"/>
        </w:rPr>
      </w:pPr>
    </w:p>
    <w:p>
      <w:pPr>
        <w:pStyle w:val="27"/>
        <w:spacing w:line="500" w:lineRule="atLeast"/>
        <w:ind w:firstLine="433"/>
        <w:rPr>
          <w:rFonts w:ascii="宋体" w:eastAsia="宋体"/>
          <w:color w:val="auto"/>
          <w:sz w:val="21"/>
          <w:szCs w:val="21"/>
        </w:rPr>
      </w:pPr>
      <w:r>
        <w:rPr>
          <w:rFonts w:hint="eastAsia" w:ascii="宋体" w:eastAsia="宋体"/>
          <w:color w:val="auto"/>
          <w:sz w:val="21"/>
          <w:szCs w:val="21"/>
        </w:rPr>
        <w:t>投标人名称（加盖公章）：</w:t>
      </w:r>
      <w:r>
        <w:rPr>
          <w:rFonts w:hint="eastAsia" w:ascii="宋体" w:eastAsia="宋体"/>
          <w:color w:val="auto"/>
          <w:sz w:val="21"/>
          <w:szCs w:val="21"/>
          <w:u w:val="single"/>
        </w:rPr>
        <w:t xml:space="preserve">                 </w:t>
      </w:r>
    </w:p>
    <w:p>
      <w:pPr>
        <w:pStyle w:val="27"/>
        <w:spacing w:line="500" w:lineRule="atLeast"/>
        <w:ind w:firstLine="433"/>
        <w:rPr>
          <w:rFonts w:ascii="宋体" w:eastAsia="宋体"/>
          <w:color w:val="auto"/>
          <w:sz w:val="21"/>
          <w:szCs w:val="21"/>
        </w:rPr>
      </w:pPr>
      <w:r>
        <w:rPr>
          <w:rFonts w:hint="eastAsia" w:ascii="宋体" w:eastAsia="宋体"/>
          <w:color w:val="auto"/>
          <w:sz w:val="21"/>
          <w:szCs w:val="21"/>
        </w:rPr>
        <w:t>法定代表人签字（签名或盖私章）：</w:t>
      </w:r>
      <w:r>
        <w:rPr>
          <w:rFonts w:hint="eastAsia" w:ascii="宋体" w:eastAsia="宋体"/>
          <w:color w:val="auto"/>
          <w:sz w:val="21"/>
          <w:szCs w:val="21"/>
          <w:u w:val="single"/>
        </w:rPr>
        <w:t xml:space="preserve">               </w:t>
      </w:r>
      <w:r>
        <w:rPr>
          <w:rFonts w:hint="eastAsia" w:ascii="宋体" w:eastAsia="宋体"/>
          <w:color w:val="auto"/>
          <w:sz w:val="21"/>
          <w:szCs w:val="21"/>
        </w:rPr>
        <w:t xml:space="preserve">                        </w:t>
      </w:r>
    </w:p>
    <w:p>
      <w:pPr>
        <w:pStyle w:val="27"/>
        <w:spacing w:line="500" w:lineRule="atLeast"/>
        <w:ind w:firstLine="433"/>
        <w:rPr>
          <w:rFonts w:ascii="宋体" w:eastAsia="宋体"/>
          <w:color w:val="auto"/>
          <w:sz w:val="21"/>
          <w:szCs w:val="21"/>
        </w:rPr>
      </w:pPr>
      <w:r>
        <w:rPr>
          <w:rFonts w:hint="eastAsia" w:ascii="宋体" w:eastAsia="宋体"/>
          <w:color w:val="auto"/>
          <w:sz w:val="21"/>
          <w:szCs w:val="21"/>
        </w:rPr>
        <w:t>日     期：</w:t>
      </w:r>
      <w:r>
        <w:rPr>
          <w:rFonts w:hint="eastAsia" w:ascii="宋体" w:eastAsia="宋体"/>
          <w:color w:val="auto"/>
          <w:sz w:val="21"/>
          <w:szCs w:val="21"/>
          <w:u w:val="single"/>
        </w:rPr>
        <w:t xml:space="preserve">         </w:t>
      </w:r>
      <w:r>
        <w:rPr>
          <w:rFonts w:hint="eastAsia" w:ascii="宋体" w:eastAsia="宋体"/>
          <w:color w:val="auto"/>
          <w:sz w:val="21"/>
          <w:szCs w:val="21"/>
        </w:rPr>
        <w:t>年</w:t>
      </w:r>
      <w:r>
        <w:rPr>
          <w:rFonts w:hint="eastAsia" w:ascii="宋体" w:eastAsia="宋体"/>
          <w:color w:val="auto"/>
          <w:sz w:val="21"/>
          <w:szCs w:val="21"/>
          <w:u w:val="single"/>
        </w:rPr>
        <w:t xml:space="preserve">        </w:t>
      </w:r>
      <w:r>
        <w:rPr>
          <w:rFonts w:hint="eastAsia" w:ascii="宋体" w:eastAsia="宋体"/>
          <w:color w:val="auto"/>
          <w:sz w:val="21"/>
          <w:szCs w:val="21"/>
        </w:rPr>
        <w:t>月</w:t>
      </w:r>
      <w:r>
        <w:rPr>
          <w:rFonts w:hint="eastAsia" w:ascii="宋体" w:eastAsia="宋体"/>
          <w:color w:val="auto"/>
          <w:sz w:val="21"/>
          <w:szCs w:val="21"/>
          <w:u w:val="single"/>
        </w:rPr>
        <w:t xml:space="preserve">        </w:t>
      </w:r>
      <w:r>
        <w:rPr>
          <w:rFonts w:hint="eastAsia" w:ascii="宋体" w:eastAsia="宋体"/>
          <w:color w:val="auto"/>
          <w:sz w:val="21"/>
          <w:szCs w:val="21"/>
        </w:rPr>
        <w:t>日</w:t>
      </w:r>
    </w:p>
    <w:p>
      <w:pPr>
        <w:pStyle w:val="27"/>
        <w:spacing w:line="500" w:lineRule="atLeast"/>
        <w:ind w:firstLine="433"/>
        <w:rPr>
          <w:rFonts w:ascii="宋体" w:eastAsia="宋体"/>
          <w:color w:val="auto"/>
          <w:sz w:val="21"/>
          <w:szCs w:val="21"/>
        </w:rPr>
      </w:pPr>
      <w:r>
        <w:rPr>
          <w:rFonts w:hint="eastAsia" w:ascii="宋体" w:eastAsia="宋体"/>
          <w:color w:val="auto"/>
          <w:sz w:val="21"/>
          <w:szCs w:val="21"/>
        </w:rPr>
        <w:br w:type="page"/>
      </w:r>
    </w:p>
    <w:p>
      <w:pPr>
        <w:pStyle w:val="6"/>
        <w:widowControl w:val="0"/>
        <w:overflowPunct w:val="0"/>
        <w:spacing w:before="0" w:after="0" w:line="240" w:lineRule="auto"/>
        <w:rPr>
          <w:rFonts w:ascii="宋体" w:hAnsi="宋体" w:eastAsia="宋体"/>
          <w:color w:val="auto"/>
          <w:sz w:val="21"/>
          <w:szCs w:val="21"/>
        </w:rPr>
      </w:pPr>
      <w:bookmarkStart w:id="147" w:name="_Toc27839"/>
      <w:r>
        <w:rPr>
          <w:rFonts w:hint="eastAsia" w:ascii="宋体" w:hAnsi="宋体" w:eastAsia="宋体"/>
          <w:color w:val="auto"/>
          <w:sz w:val="21"/>
          <w:szCs w:val="21"/>
        </w:rPr>
        <w:t>附件8.营业执照</w:t>
      </w:r>
      <w:bookmarkEnd w:id="147"/>
    </w:p>
    <w:p>
      <w:pPr>
        <w:jc w:val="center"/>
        <w:rPr>
          <w:rFonts w:ascii="黑体" w:eastAsia="黑体"/>
          <w:color w:val="auto"/>
          <w:sz w:val="28"/>
          <w:szCs w:val="28"/>
        </w:rPr>
      </w:pPr>
      <w:bookmarkStart w:id="148" w:name="_Toc17470"/>
      <w:bookmarkStart w:id="149" w:name="_Toc5919"/>
      <w:bookmarkStart w:id="150" w:name="_Toc24210"/>
      <w:bookmarkStart w:id="151" w:name="_Toc4926"/>
      <w:bookmarkStart w:id="152" w:name="_Toc1511"/>
      <w:r>
        <w:rPr>
          <w:rFonts w:hint="eastAsia" w:ascii="黑体" w:eastAsia="黑体"/>
          <w:color w:val="auto"/>
          <w:sz w:val="28"/>
          <w:szCs w:val="28"/>
        </w:rPr>
        <w:t>营业执照</w:t>
      </w:r>
      <w:bookmarkEnd w:id="148"/>
      <w:bookmarkEnd w:id="149"/>
      <w:bookmarkEnd w:id="150"/>
      <w:bookmarkEnd w:id="151"/>
      <w:bookmarkEnd w:id="152"/>
    </w:p>
    <w:p>
      <w:pPr>
        <w:jc w:val="center"/>
        <w:rPr>
          <w:rFonts w:ascii="黑体" w:eastAsia="黑体"/>
          <w:color w:val="auto"/>
          <w:sz w:val="28"/>
          <w:szCs w:val="28"/>
        </w:rPr>
      </w:pPr>
      <w:r>
        <w:rPr>
          <w:rFonts w:hint="eastAsia" w:ascii="黑体" w:eastAsia="黑体"/>
          <w:color w:val="auto"/>
          <w:sz w:val="28"/>
          <w:szCs w:val="28"/>
        </w:rPr>
        <w:br w:type="page"/>
      </w:r>
    </w:p>
    <w:p>
      <w:pPr>
        <w:pStyle w:val="6"/>
        <w:widowControl w:val="0"/>
        <w:overflowPunct w:val="0"/>
        <w:spacing w:before="0" w:after="0" w:line="240" w:lineRule="auto"/>
        <w:rPr>
          <w:rFonts w:ascii="宋体" w:hAnsi="宋体" w:eastAsia="宋体"/>
          <w:color w:val="auto"/>
          <w:sz w:val="21"/>
          <w:szCs w:val="21"/>
        </w:rPr>
      </w:pPr>
      <w:bookmarkStart w:id="153" w:name="_Toc26141"/>
      <w:r>
        <w:rPr>
          <w:rFonts w:hint="eastAsia" w:ascii="宋体" w:hAnsi="宋体" w:eastAsia="宋体"/>
          <w:color w:val="auto"/>
          <w:sz w:val="21"/>
          <w:szCs w:val="21"/>
        </w:rPr>
        <w:t>附件9.相关资质证明文件</w:t>
      </w:r>
      <w:bookmarkEnd w:id="153"/>
    </w:p>
    <w:p>
      <w:pPr>
        <w:rPr>
          <w:color w:val="auto"/>
        </w:rPr>
      </w:pPr>
    </w:p>
    <w:p>
      <w:pPr>
        <w:jc w:val="center"/>
        <w:rPr>
          <w:rFonts w:ascii="黑体" w:eastAsia="黑体"/>
          <w:color w:val="auto"/>
          <w:sz w:val="28"/>
          <w:szCs w:val="28"/>
        </w:rPr>
      </w:pPr>
      <w:bookmarkStart w:id="154" w:name="_Toc9592"/>
      <w:bookmarkStart w:id="155" w:name="_Toc16698"/>
      <w:bookmarkStart w:id="156" w:name="_Toc16233"/>
      <w:bookmarkStart w:id="157" w:name="_Toc30307"/>
      <w:bookmarkStart w:id="158" w:name="_Toc13458"/>
      <w:r>
        <w:rPr>
          <w:rFonts w:hint="eastAsia" w:ascii="黑体" w:eastAsia="黑体"/>
          <w:color w:val="auto"/>
          <w:sz w:val="28"/>
          <w:szCs w:val="28"/>
        </w:rPr>
        <w:t>相关资质证明文件</w:t>
      </w:r>
      <w:bookmarkEnd w:id="145"/>
      <w:bookmarkEnd w:id="154"/>
      <w:bookmarkEnd w:id="155"/>
      <w:bookmarkEnd w:id="156"/>
      <w:bookmarkEnd w:id="157"/>
      <w:bookmarkEnd w:id="158"/>
    </w:p>
    <w:p>
      <w:pPr>
        <w:jc w:val="center"/>
        <w:rPr>
          <w:rFonts w:ascii="黑体" w:eastAsia="黑体"/>
          <w:color w:val="auto"/>
          <w:sz w:val="28"/>
          <w:szCs w:val="28"/>
        </w:rPr>
      </w:pPr>
      <w:r>
        <w:rPr>
          <w:rFonts w:hint="eastAsia" w:ascii="黑体" w:eastAsia="黑体"/>
          <w:color w:val="auto"/>
          <w:sz w:val="28"/>
          <w:szCs w:val="28"/>
        </w:rPr>
        <w:br w:type="page"/>
      </w:r>
    </w:p>
    <w:p>
      <w:pPr>
        <w:pStyle w:val="6"/>
        <w:widowControl w:val="0"/>
        <w:overflowPunct w:val="0"/>
        <w:spacing w:before="0" w:after="0" w:line="240" w:lineRule="auto"/>
        <w:rPr>
          <w:rFonts w:ascii="宋体" w:hAnsi="宋体" w:eastAsia="宋体"/>
          <w:color w:val="auto"/>
          <w:sz w:val="21"/>
          <w:szCs w:val="21"/>
        </w:rPr>
      </w:pPr>
      <w:bookmarkStart w:id="159" w:name="_Toc17618"/>
      <w:r>
        <w:rPr>
          <w:rFonts w:hint="eastAsia" w:ascii="宋体" w:hAnsi="宋体" w:eastAsia="宋体"/>
          <w:color w:val="auto"/>
          <w:sz w:val="21"/>
          <w:szCs w:val="21"/>
        </w:rPr>
        <w:t>附件10. 商务条款偏离表格式</w:t>
      </w:r>
      <w:bookmarkEnd w:id="159"/>
    </w:p>
    <w:p>
      <w:pPr>
        <w:jc w:val="center"/>
        <w:rPr>
          <w:rFonts w:ascii="黑体" w:eastAsia="黑体"/>
          <w:color w:val="auto"/>
          <w:sz w:val="28"/>
          <w:szCs w:val="28"/>
        </w:rPr>
      </w:pPr>
    </w:p>
    <w:p>
      <w:pPr>
        <w:jc w:val="center"/>
        <w:rPr>
          <w:rFonts w:ascii="黑体" w:eastAsia="黑体"/>
          <w:color w:val="auto"/>
          <w:sz w:val="28"/>
          <w:szCs w:val="28"/>
        </w:rPr>
      </w:pPr>
      <w:r>
        <w:rPr>
          <w:rFonts w:hint="eastAsia" w:ascii="黑体" w:eastAsia="黑体"/>
          <w:color w:val="auto"/>
          <w:sz w:val="28"/>
          <w:szCs w:val="28"/>
        </w:rPr>
        <w:t>商务条款偏离表</w:t>
      </w:r>
    </w:p>
    <w:tbl>
      <w:tblPr>
        <w:tblStyle w:val="16"/>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序号</w:t>
            </w:r>
          </w:p>
        </w:tc>
        <w:tc>
          <w:tcPr>
            <w:tcW w:w="1620"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商务要求项</w:t>
            </w:r>
          </w:p>
        </w:tc>
        <w:tc>
          <w:tcPr>
            <w:tcW w:w="1360"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招标要求</w:t>
            </w:r>
          </w:p>
        </w:tc>
        <w:tc>
          <w:tcPr>
            <w:tcW w:w="1587"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投标实际响应</w:t>
            </w:r>
          </w:p>
        </w:tc>
        <w:tc>
          <w:tcPr>
            <w:tcW w:w="1133"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是否偏离</w:t>
            </w:r>
          </w:p>
        </w:tc>
        <w:tc>
          <w:tcPr>
            <w:tcW w:w="1730"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rPr>
            </w:pPr>
          </w:p>
        </w:tc>
        <w:tc>
          <w:tcPr>
            <w:tcW w:w="1620" w:type="dxa"/>
            <w:vAlign w:val="center"/>
          </w:tcPr>
          <w:p>
            <w:pPr>
              <w:jc w:val="center"/>
              <w:rPr>
                <w:rFonts w:ascii="宋体" w:hAnsi="宋体" w:eastAsia="宋体"/>
                <w:color w:val="auto"/>
                <w:sz w:val="21"/>
                <w:szCs w:val="21"/>
              </w:rPr>
            </w:pPr>
          </w:p>
        </w:tc>
        <w:tc>
          <w:tcPr>
            <w:tcW w:w="1360" w:type="dxa"/>
            <w:vAlign w:val="center"/>
          </w:tcPr>
          <w:p>
            <w:pPr>
              <w:jc w:val="center"/>
              <w:rPr>
                <w:rFonts w:ascii="宋体" w:hAnsi="宋体" w:eastAsia="宋体"/>
                <w:color w:val="auto"/>
                <w:sz w:val="21"/>
                <w:szCs w:val="21"/>
              </w:rPr>
            </w:pPr>
          </w:p>
        </w:tc>
        <w:tc>
          <w:tcPr>
            <w:tcW w:w="1587" w:type="dxa"/>
            <w:vAlign w:val="center"/>
          </w:tcPr>
          <w:p>
            <w:pPr>
              <w:jc w:val="center"/>
              <w:rPr>
                <w:rFonts w:ascii="宋体" w:hAnsi="宋体" w:eastAsia="宋体"/>
                <w:color w:val="auto"/>
                <w:sz w:val="21"/>
                <w:szCs w:val="21"/>
              </w:rPr>
            </w:pPr>
          </w:p>
        </w:tc>
        <w:tc>
          <w:tcPr>
            <w:tcW w:w="1133" w:type="dxa"/>
            <w:vAlign w:val="center"/>
          </w:tcPr>
          <w:p>
            <w:pPr>
              <w:jc w:val="center"/>
              <w:rPr>
                <w:rFonts w:ascii="宋体" w:hAnsi="宋体" w:eastAsia="宋体"/>
                <w:color w:val="auto"/>
                <w:sz w:val="21"/>
                <w:szCs w:val="21"/>
              </w:rPr>
            </w:pPr>
          </w:p>
        </w:tc>
        <w:tc>
          <w:tcPr>
            <w:tcW w:w="1730"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rPr>
            </w:pPr>
          </w:p>
        </w:tc>
        <w:tc>
          <w:tcPr>
            <w:tcW w:w="1620" w:type="dxa"/>
            <w:vAlign w:val="center"/>
          </w:tcPr>
          <w:p>
            <w:pPr>
              <w:jc w:val="center"/>
              <w:rPr>
                <w:rFonts w:ascii="宋体" w:hAnsi="宋体" w:eastAsia="宋体"/>
                <w:color w:val="auto"/>
                <w:sz w:val="21"/>
                <w:szCs w:val="21"/>
              </w:rPr>
            </w:pPr>
          </w:p>
        </w:tc>
        <w:tc>
          <w:tcPr>
            <w:tcW w:w="1360" w:type="dxa"/>
            <w:vAlign w:val="center"/>
          </w:tcPr>
          <w:p>
            <w:pPr>
              <w:jc w:val="center"/>
              <w:rPr>
                <w:rFonts w:ascii="宋体" w:hAnsi="宋体" w:eastAsia="宋体"/>
                <w:color w:val="auto"/>
                <w:sz w:val="21"/>
                <w:szCs w:val="21"/>
              </w:rPr>
            </w:pPr>
          </w:p>
        </w:tc>
        <w:tc>
          <w:tcPr>
            <w:tcW w:w="1587" w:type="dxa"/>
            <w:vAlign w:val="center"/>
          </w:tcPr>
          <w:p>
            <w:pPr>
              <w:jc w:val="center"/>
              <w:rPr>
                <w:rFonts w:ascii="宋体" w:hAnsi="宋体" w:eastAsia="宋体"/>
                <w:color w:val="auto"/>
                <w:sz w:val="21"/>
                <w:szCs w:val="21"/>
              </w:rPr>
            </w:pPr>
          </w:p>
        </w:tc>
        <w:tc>
          <w:tcPr>
            <w:tcW w:w="1133" w:type="dxa"/>
            <w:vAlign w:val="center"/>
          </w:tcPr>
          <w:p>
            <w:pPr>
              <w:jc w:val="center"/>
              <w:rPr>
                <w:rFonts w:ascii="宋体" w:hAnsi="宋体" w:eastAsia="宋体"/>
                <w:color w:val="auto"/>
                <w:sz w:val="21"/>
                <w:szCs w:val="21"/>
              </w:rPr>
            </w:pPr>
          </w:p>
        </w:tc>
        <w:tc>
          <w:tcPr>
            <w:tcW w:w="1730"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rPr>
            </w:pPr>
          </w:p>
        </w:tc>
        <w:tc>
          <w:tcPr>
            <w:tcW w:w="1620" w:type="dxa"/>
            <w:vAlign w:val="center"/>
          </w:tcPr>
          <w:p>
            <w:pPr>
              <w:jc w:val="center"/>
              <w:rPr>
                <w:rFonts w:ascii="宋体" w:hAnsi="宋体" w:eastAsia="宋体"/>
                <w:color w:val="auto"/>
                <w:sz w:val="21"/>
                <w:szCs w:val="21"/>
              </w:rPr>
            </w:pPr>
          </w:p>
        </w:tc>
        <w:tc>
          <w:tcPr>
            <w:tcW w:w="1360" w:type="dxa"/>
            <w:vAlign w:val="center"/>
          </w:tcPr>
          <w:p>
            <w:pPr>
              <w:jc w:val="center"/>
              <w:rPr>
                <w:rFonts w:ascii="宋体" w:hAnsi="宋体" w:eastAsia="宋体"/>
                <w:color w:val="auto"/>
                <w:sz w:val="21"/>
                <w:szCs w:val="21"/>
              </w:rPr>
            </w:pPr>
          </w:p>
        </w:tc>
        <w:tc>
          <w:tcPr>
            <w:tcW w:w="1587" w:type="dxa"/>
            <w:vAlign w:val="center"/>
          </w:tcPr>
          <w:p>
            <w:pPr>
              <w:jc w:val="center"/>
              <w:rPr>
                <w:rFonts w:ascii="宋体" w:hAnsi="宋体" w:eastAsia="宋体"/>
                <w:color w:val="auto"/>
                <w:sz w:val="21"/>
                <w:szCs w:val="21"/>
              </w:rPr>
            </w:pPr>
          </w:p>
        </w:tc>
        <w:tc>
          <w:tcPr>
            <w:tcW w:w="1133" w:type="dxa"/>
            <w:vAlign w:val="center"/>
          </w:tcPr>
          <w:p>
            <w:pPr>
              <w:jc w:val="center"/>
              <w:rPr>
                <w:rFonts w:ascii="宋体" w:hAnsi="宋体" w:eastAsia="宋体"/>
                <w:color w:val="auto"/>
                <w:sz w:val="21"/>
                <w:szCs w:val="21"/>
              </w:rPr>
            </w:pPr>
          </w:p>
        </w:tc>
        <w:tc>
          <w:tcPr>
            <w:tcW w:w="1730"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rPr>
            </w:pPr>
          </w:p>
        </w:tc>
        <w:tc>
          <w:tcPr>
            <w:tcW w:w="1620" w:type="dxa"/>
            <w:vAlign w:val="center"/>
          </w:tcPr>
          <w:p>
            <w:pPr>
              <w:jc w:val="center"/>
              <w:rPr>
                <w:rFonts w:ascii="宋体" w:hAnsi="宋体" w:eastAsia="宋体"/>
                <w:color w:val="auto"/>
                <w:sz w:val="21"/>
                <w:szCs w:val="21"/>
              </w:rPr>
            </w:pPr>
          </w:p>
        </w:tc>
        <w:tc>
          <w:tcPr>
            <w:tcW w:w="1360" w:type="dxa"/>
            <w:vAlign w:val="center"/>
          </w:tcPr>
          <w:p>
            <w:pPr>
              <w:jc w:val="center"/>
              <w:rPr>
                <w:rFonts w:ascii="宋体" w:hAnsi="宋体" w:eastAsia="宋体"/>
                <w:color w:val="auto"/>
                <w:sz w:val="21"/>
                <w:szCs w:val="21"/>
              </w:rPr>
            </w:pPr>
          </w:p>
        </w:tc>
        <w:tc>
          <w:tcPr>
            <w:tcW w:w="1587" w:type="dxa"/>
            <w:vAlign w:val="center"/>
          </w:tcPr>
          <w:p>
            <w:pPr>
              <w:jc w:val="center"/>
              <w:rPr>
                <w:rFonts w:ascii="宋体" w:hAnsi="宋体" w:eastAsia="宋体"/>
                <w:color w:val="auto"/>
                <w:sz w:val="21"/>
                <w:szCs w:val="21"/>
              </w:rPr>
            </w:pPr>
          </w:p>
        </w:tc>
        <w:tc>
          <w:tcPr>
            <w:tcW w:w="1133" w:type="dxa"/>
            <w:vAlign w:val="center"/>
          </w:tcPr>
          <w:p>
            <w:pPr>
              <w:jc w:val="center"/>
              <w:rPr>
                <w:rFonts w:ascii="宋体" w:hAnsi="宋体" w:eastAsia="宋体"/>
                <w:color w:val="auto"/>
                <w:sz w:val="21"/>
                <w:szCs w:val="21"/>
              </w:rPr>
            </w:pPr>
          </w:p>
        </w:tc>
        <w:tc>
          <w:tcPr>
            <w:tcW w:w="1730"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rPr>
            </w:pPr>
          </w:p>
        </w:tc>
        <w:tc>
          <w:tcPr>
            <w:tcW w:w="1620" w:type="dxa"/>
            <w:vAlign w:val="center"/>
          </w:tcPr>
          <w:p>
            <w:pPr>
              <w:jc w:val="center"/>
              <w:rPr>
                <w:rFonts w:ascii="宋体" w:hAnsi="宋体" w:eastAsia="宋体"/>
                <w:color w:val="auto"/>
                <w:sz w:val="21"/>
                <w:szCs w:val="21"/>
              </w:rPr>
            </w:pPr>
          </w:p>
        </w:tc>
        <w:tc>
          <w:tcPr>
            <w:tcW w:w="1360" w:type="dxa"/>
            <w:vAlign w:val="center"/>
          </w:tcPr>
          <w:p>
            <w:pPr>
              <w:jc w:val="center"/>
              <w:rPr>
                <w:rFonts w:ascii="宋体" w:hAnsi="宋体" w:eastAsia="宋体"/>
                <w:color w:val="auto"/>
                <w:sz w:val="21"/>
                <w:szCs w:val="21"/>
              </w:rPr>
            </w:pPr>
          </w:p>
        </w:tc>
        <w:tc>
          <w:tcPr>
            <w:tcW w:w="1587" w:type="dxa"/>
            <w:vAlign w:val="center"/>
          </w:tcPr>
          <w:p>
            <w:pPr>
              <w:jc w:val="center"/>
              <w:rPr>
                <w:rFonts w:ascii="宋体" w:hAnsi="宋体" w:eastAsia="宋体"/>
                <w:color w:val="auto"/>
                <w:sz w:val="21"/>
                <w:szCs w:val="21"/>
              </w:rPr>
            </w:pPr>
          </w:p>
        </w:tc>
        <w:tc>
          <w:tcPr>
            <w:tcW w:w="1133" w:type="dxa"/>
            <w:vAlign w:val="center"/>
          </w:tcPr>
          <w:p>
            <w:pPr>
              <w:jc w:val="center"/>
              <w:rPr>
                <w:rFonts w:ascii="宋体" w:hAnsi="宋体" w:eastAsia="宋体"/>
                <w:color w:val="auto"/>
                <w:sz w:val="21"/>
                <w:szCs w:val="21"/>
              </w:rPr>
            </w:pPr>
          </w:p>
        </w:tc>
        <w:tc>
          <w:tcPr>
            <w:tcW w:w="1730"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rPr>
            </w:pPr>
          </w:p>
        </w:tc>
        <w:tc>
          <w:tcPr>
            <w:tcW w:w="1620" w:type="dxa"/>
            <w:vAlign w:val="center"/>
          </w:tcPr>
          <w:p>
            <w:pPr>
              <w:jc w:val="center"/>
              <w:rPr>
                <w:rFonts w:ascii="宋体" w:hAnsi="宋体" w:eastAsia="宋体"/>
                <w:color w:val="auto"/>
                <w:sz w:val="21"/>
                <w:szCs w:val="21"/>
              </w:rPr>
            </w:pPr>
          </w:p>
        </w:tc>
        <w:tc>
          <w:tcPr>
            <w:tcW w:w="1360" w:type="dxa"/>
            <w:vAlign w:val="center"/>
          </w:tcPr>
          <w:p>
            <w:pPr>
              <w:jc w:val="center"/>
              <w:rPr>
                <w:rFonts w:ascii="宋体" w:hAnsi="宋体" w:eastAsia="宋体"/>
                <w:color w:val="auto"/>
                <w:sz w:val="21"/>
                <w:szCs w:val="21"/>
              </w:rPr>
            </w:pPr>
          </w:p>
        </w:tc>
        <w:tc>
          <w:tcPr>
            <w:tcW w:w="1587" w:type="dxa"/>
            <w:vAlign w:val="center"/>
          </w:tcPr>
          <w:p>
            <w:pPr>
              <w:jc w:val="center"/>
              <w:rPr>
                <w:rFonts w:ascii="宋体" w:hAnsi="宋体" w:eastAsia="宋体"/>
                <w:color w:val="auto"/>
                <w:sz w:val="21"/>
                <w:szCs w:val="21"/>
              </w:rPr>
            </w:pPr>
          </w:p>
        </w:tc>
        <w:tc>
          <w:tcPr>
            <w:tcW w:w="1133" w:type="dxa"/>
            <w:vAlign w:val="center"/>
          </w:tcPr>
          <w:p>
            <w:pPr>
              <w:jc w:val="center"/>
              <w:rPr>
                <w:rFonts w:ascii="宋体" w:hAnsi="宋体" w:eastAsia="宋体"/>
                <w:color w:val="auto"/>
                <w:sz w:val="21"/>
                <w:szCs w:val="21"/>
              </w:rPr>
            </w:pPr>
          </w:p>
        </w:tc>
        <w:tc>
          <w:tcPr>
            <w:tcW w:w="1730"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rPr>
            </w:pPr>
          </w:p>
        </w:tc>
        <w:tc>
          <w:tcPr>
            <w:tcW w:w="1620" w:type="dxa"/>
            <w:vAlign w:val="center"/>
          </w:tcPr>
          <w:p>
            <w:pPr>
              <w:jc w:val="center"/>
              <w:rPr>
                <w:rFonts w:ascii="宋体" w:hAnsi="宋体" w:eastAsia="宋体"/>
                <w:color w:val="auto"/>
                <w:sz w:val="21"/>
                <w:szCs w:val="21"/>
              </w:rPr>
            </w:pPr>
          </w:p>
        </w:tc>
        <w:tc>
          <w:tcPr>
            <w:tcW w:w="1360" w:type="dxa"/>
            <w:vAlign w:val="center"/>
          </w:tcPr>
          <w:p>
            <w:pPr>
              <w:jc w:val="center"/>
              <w:rPr>
                <w:rFonts w:ascii="宋体" w:hAnsi="宋体" w:eastAsia="宋体"/>
                <w:color w:val="auto"/>
                <w:sz w:val="21"/>
                <w:szCs w:val="21"/>
              </w:rPr>
            </w:pPr>
          </w:p>
        </w:tc>
        <w:tc>
          <w:tcPr>
            <w:tcW w:w="1587" w:type="dxa"/>
            <w:vAlign w:val="center"/>
          </w:tcPr>
          <w:p>
            <w:pPr>
              <w:jc w:val="center"/>
              <w:rPr>
                <w:rFonts w:ascii="宋体" w:hAnsi="宋体" w:eastAsia="宋体"/>
                <w:color w:val="auto"/>
                <w:sz w:val="21"/>
                <w:szCs w:val="21"/>
              </w:rPr>
            </w:pPr>
          </w:p>
        </w:tc>
        <w:tc>
          <w:tcPr>
            <w:tcW w:w="1133" w:type="dxa"/>
            <w:vAlign w:val="center"/>
          </w:tcPr>
          <w:p>
            <w:pPr>
              <w:jc w:val="center"/>
              <w:rPr>
                <w:rFonts w:ascii="宋体" w:hAnsi="宋体" w:eastAsia="宋体"/>
                <w:color w:val="auto"/>
                <w:sz w:val="21"/>
                <w:szCs w:val="21"/>
              </w:rPr>
            </w:pPr>
          </w:p>
        </w:tc>
        <w:tc>
          <w:tcPr>
            <w:tcW w:w="1730"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rPr>
            </w:pPr>
          </w:p>
        </w:tc>
        <w:tc>
          <w:tcPr>
            <w:tcW w:w="1620" w:type="dxa"/>
            <w:vAlign w:val="center"/>
          </w:tcPr>
          <w:p>
            <w:pPr>
              <w:jc w:val="center"/>
              <w:rPr>
                <w:rFonts w:ascii="宋体" w:hAnsi="宋体" w:eastAsia="宋体"/>
                <w:color w:val="auto"/>
                <w:sz w:val="21"/>
                <w:szCs w:val="21"/>
              </w:rPr>
            </w:pPr>
          </w:p>
        </w:tc>
        <w:tc>
          <w:tcPr>
            <w:tcW w:w="1360" w:type="dxa"/>
            <w:vAlign w:val="center"/>
          </w:tcPr>
          <w:p>
            <w:pPr>
              <w:jc w:val="center"/>
              <w:rPr>
                <w:rFonts w:ascii="宋体" w:hAnsi="宋体" w:eastAsia="宋体"/>
                <w:color w:val="auto"/>
                <w:sz w:val="21"/>
                <w:szCs w:val="21"/>
              </w:rPr>
            </w:pPr>
          </w:p>
        </w:tc>
        <w:tc>
          <w:tcPr>
            <w:tcW w:w="1587" w:type="dxa"/>
            <w:vAlign w:val="center"/>
          </w:tcPr>
          <w:p>
            <w:pPr>
              <w:jc w:val="center"/>
              <w:rPr>
                <w:rFonts w:ascii="宋体" w:hAnsi="宋体" w:eastAsia="宋体"/>
                <w:color w:val="auto"/>
                <w:sz w:val="21"/>
                <w:szCs w:val="21"/>
              </w:rPr>
            </w:pPr>
          </w:p>
        </w:tc>
        <w:tc>
          <w:tcPr>
            <w:tcW w:w="1133" w:type="dxa"/>
            <w:vAlign w:val="center"/>
          </w:tcPr>
          <w:p>
            <w:pPr>
              <w:jc w:val="center"/>
              <w:rPr>
                <w:rFonts w:ascii="宋体" w:hAnsi="宋体" w:eastAsia="宋体"/>
                <w:color w:val="auto"/>
                <w:sz w:val="21"/>
                <w:szCs w:val="21"/>
              </w:rPr>
            </w:pPr>
          </w:p>
        </w:tc>
        <w:tc>
          <w:tcPr>
            <w:tcW w:w="1730"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rPr>
            </w:pPr>
          </w:p>
        </w:tc>
        <w:tc>
          <w:tcPr>
            <w:tcW w:w="1620" w:type="dxa"/>
            <w:vAlign w:val="center"/>
          </w:tcPr>
          <w:p>
            <w:pPr>
              <w:jc w:val="center"/>
              <w:rPr>
                <w:rFonts w:ascii="宋体" w:hAnsi="宋体" w:eastAsia="宋体"/>
                <w:color w:val="auto"/>
                <w:sz w:val="21"/>
                <w:szCs w:val="21"/>
              </w:rPr>
            </w:pPr>
          </w:p>
        </w:tc>
        <w:tc>
          <w:tcPr>
            <w:tcW w:w="1360" w:type="dxa"/>
            <w:vAlign w:val="center"/>
          </w:tcPr>
          <w:p>
            <w:pPr>
              <w:jc w:val="center"/>
              <w:rPr>
                <w:rFonts w:ascii="宋体" w:hAnsi="宋体" w:eastAsia="宋体"/>
                <w:color w:val="auto"/>
                <w:sz w:val="21"/>
                <w:szCs w:val="21"/>
              </w:rPr>
            </w:pPr>
          </w:p>
        </w:tc>
        <w:tc>
          <w:tcPr>
            <w:tcW w:w="1587" w:type="dxa"/>
            <w:vAlign w:val="center"/>
          </w:tcPr>
          <w:p>
            <w:pPr>
              <w:jc w:val="center"/>
              <w:rPr>
                <w:rFonts w:ascii="宋体" w:hAnsi="宋体" w:eastAsia="宋体"/>
                <w:color w:val="auto"/>
                <w:sz w:val="21"/>
                <w:szCs w:val="21"/>
              </w:rPr>
            </w:pPr>
          </w:p>
        </w:tc>
        <w:tc>
          <w:tcPr>
            <w:tcW w:w="1133" w:type="dxa"/>
            <w:vAlign w:val="center"/>
          </w:tcPr>
          <w:p>
            <w:pPr>
              <w:jc w:val="center"/>
              <w:rPr>
                <w:rFonts w:ascii="宋体" w:hAnsi="宋体" w:eastAsia="宋体"/>
                <w:color w:val="auto"/>
                <w:sz w:val="21"/>
                <w:szCs w:val="21"/>
              </w:rPr>
            </w:pPr>
          </w:p>
        </w:tc>
        <w:tc>
          <w:tcPr>
            <w:tcW w:w="1730"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rPr>
            </w:pPr>
          </w:p>
        </w:tc>
        <w:tc>
          <w:tcPr>
            <w:tcW w:w="1620" w:type="dxa"/>
            <w:vAlign w:val="center"/>
          </w:tcPr>
          <w:p>
            <w:pPr>
              <w:jc w:val="center"/>
              <w:rPr>
                <w:rFonts w:ascii="宋体" w:hAnsi="宋体" w:eastAsia="宋体"/>
                <w:color w:val="auto"/>
                <w:sz w:val="21"/>
                <w:szCs w:val="21"/>
              </w:rPr>
            </w:pPr>
          </w:p>
        </w:tc>
        <w:tc>
          <w:tcPr>
            <w:tcW w:w="1360" w:type="dxa"/>
            <w:vAlign w:val="center"/>
          </w:tcPr>
          <w:p>
            <w:pPr>
              <w:jc w:val="center"/>
              <w:rPr>
                <w:rFonts w:ascii="宋体" w:hAnsi="宋体" w:eastAsia="宋体"/>
                <w:color w:val="auto"/>
                <w:sz w:val="21"/>
                <w:szCs w:val="21"/>
              </w:rPr>
            </w:pPr>
          </w:p>
        </w:tc>
        <w:tc>
          <w:tcPr>
            <w:tcW w:w="1587" w:type="dxa"/>
            <w:vAlign w:val="center"/>
          </w:tcPr>
          <w:p>
            <w:pPr>
              <w:jc w:val="center"/>
              <w:rPr>
                <w:rFonts w:ascii="宋体" w:hAnsi="宋体" w:eastAsia="宋体"/>
                <w:color w:val="auto"/>
                <w:sz w:val="21"/>
                <w:szCs w:val="21"/>
              </w:rPr>
            </w:pPr>
          </w:p>
        </w:tc>
        <w:tc>
          <w:tcPr>
            <w:tcW w:w="1133" w:type="dxa"/>
            <w:vAlign w:val="center"/>
          </w:tcPr>
          <w:p>
            <w:pPr>
              <w:jc w:val="center"/>
              <w:rPr>
                <w:rFonts w:ascii="宋体" w:hAnsi="宋体" w:eastAsia="宋体"/>
                <w:color w:val="auto"/>
                <w:sz w:val="21"/>
                <w:szCs w:val="21"/>
              </w:rPr>
            </w:pPr>
          </w:p>
        </w:tc>
        <w:tc>
          <w:tcPr>
            <w:tcW w:w="1730" w:type="dxa"/>
            <w:vAlign w:val="center"/>
          </w:tcPr>
          <w:p>
            <w:pPr>
              <w:jc w:val="center"/>
              <w:rPr>
                <w:rFonts w:ascii="宋体" w:hAnsi="宋体" w:eastAsia="宋体"/>
                <w:color w:val="auto"/>
                <w:sz w:val="21"/>
                <w:szCs w:val="21"/>
              </w:rPr>
            </w:pPr>
          </w:p>
        </w:tc>
      </w:tr>
    </w:tbl>
    <w:p>
      <w:pPr>
        <w:rPr>
          <w:rFonts w:ascii="宋体" w:hAnsi="宋体" w:eastAsia="宋体"/>
          <w:color w:val="auto"/>
          <w:sz w:val="21"/>
          <w:szCs w:val="21"/>
        </w:rPr>
      </w:pPr>
    </w:p>
    <w:p>
      <w:pPr>
        <w:rPr>
          <w:rFonts w:ascii="宋体" w:hAnsi="宋体" w:eastAsia="宋体"/>
          <w:color w:val="auto"/>
          <w:sz w:val="21"/>
          <w:szCs w:val="21"/>
        </w:rPr>
      </w:pPr>
      <w:r>
        <w:rPr>
          <w:rFonts w:hint="eastAsia" w:ascii="宋体" w:hAnsi="宋体" w:eastAsia="宋体"/>
          <w:color w:val="auto"/>
          <w:sz w:val="21"/>
          <w:szCs w:val="21"/>
        </w:rPr>
        <w:t>投标人代表签字：</w:t>
      </w:r>
    </w:p>
    <w:p>
      <w:pPr>
        <w:rPr>
          <w:rFonts w:ascii="宋体" w:hAnsi="宋体" w:eastAsia="宋体"/>
          <w:color w:val="auto"/>
          <w:sz w:val="21"/>
          <w:szCs w:val="21"/>
        </w:rPr>
      </w:pPr>
      <w:r>
        <w:rPr>
          <w:rFonts w:hint="eastAsia" w:ascii="宋体" w:hAnsi="宋体" w:eastAsia="宋体"/>
          <w:color w:val="auto"/>
          <w:sz w:val="21"/>
          <w:szCs w:val="21"/>
        </w:rPr>
        <w:t>投标人盖章：</w:t>
      </w:r>
    </w:p>
    <w:p>
      <w:pPr>
        <w:rPr>
          <w:rFonts w:ascii="宋体" w:hAnsi="宋体" w:eastAsia="宋体"/>
          <w:color w:val="auto"/>
          <w:sz w:val="21"/>
          <w:szCs w:val="21"/>
        </w:rPr>
      </w:pPr>
    </w:p>
    <w:p>
      <w:pPr>
        <w:ind w:left="718" w:hanging="718" w:hangingChars="342"/>
        <w:rPr>
          <w:rFonts w:ascii="宋体" w:hAnsi="宋体" w:eastAsia="宋体"/>
          <w:color w:val="auto"/>
          <w:sz w:val="21"/>
          <w:szCs w:val="21"/>
        </w:rPr>
      </w:pPr>
      <w:r>
        <w:rPr>
          <w:rFonts w:hint="eastAsia" w:ascii="宋体" w:hAnsi="宋体" w:eastAsia="宋体"/>
          <w:color w:val="auto"/>
          <w:sz w:val="21"/>
          <w:szCs w:val="21"/>
        </w:rPr>
        <w:t>注：</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1、投标人应对照招标文件商务要求，说明已对招标文件的商务内容做出了实质性的响应。</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2、商务条款包括但不限于合格投标人资格、付款方式、履约保证金、完工期、售后服务、检验及验收、保险、争端的解决等要求。</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3、若文件有具体要求的，应按照文件要求进行逐一响应，并提供相应的证明材料。</w:t>
      </w:r>
    </w:p>
    <w:p>
      <w:pPr>
        <w:adjustRightInd/>
        <w:snapToGrid/>
        <w:spacing w:line="276" w:lineRule="auto"/>
        <w:rPr>
          <w:color w:val="auto"/>
        </w:rPr>
      </w:pPr>
    </w:p>
    <w:p>
      <w:pPr>
        <w:adjustRightInd/>
        <w:snapToGrid/>
        <w:spacing w:line="276" w:lineRule="auto"/>
        <w:rPr>
          <w:color w:val="auto"/>
        </w:rPr>
      </w:pPr>
    </w:p>
    <w:p>
      <w:pPr>
        <w:adjustRightInd/>
        <w:snapToGrid/>
        <w:spacing w:line="276" w:lineRule="auto"/>
        <w:rPr>
          <w:color w:val="auto"/>
        </w:rPr>
      </w:pPr>
    </w:p>
    <w:p>
      <w:pPr>
        <w:adjustRightInd/>
        <w:snapToGrid/>
        <w:spacing w:line="276" w:lineRule="auto"/>
        <w:rPr>
          <w:color w:val="auto"/>
        </w:rPr>
      </w:pPr>
    </w:p>
    <w:p>
      <w:pPr>
        <w:adjustRightInd/>
        <w:snapToGrid/>
        <w:spacing w:line="276" w:lineRule="auto"/>
        <w:rPr>
          <w:color w:val="auto"/>
        </w:rPr>
      </w:pPr>
      <w:r>
        <w:rPr>
          <w:color w:val="auto"/>
        </w:rPr>
        <w:br w:type="page"/>
      </w:r>
    </w:p>
    <w:p>
      <w:pPr>
        <w:pStyle w:val="6"/>
        <w:widowControl w:val="0"/>
        <w:overflowPunct w:val="0"/>
        <w:spacing w:before="0" w:after="0" w:line="240" w:lineRule="auto"/>
        <w:rPr>
          <w:rFonts w:ascii="宋体" w:hAnsi="宋体" w:eastAsia="宋体"/>
          <w:color w:val="auto"/>
          <w:sz w:val="21"/>
          <w:szCs w:val="21"/>
        </w:rPr>
      </w:pPr>
      <w:bookmarkStart w:id="160" w:name="_Toc32183"/>
      <w:r>
        <w:rPr>
          <w:rFonts w:hint="eastAsia" w:ascii="宋体" w:hAnsi="宋体" w:eastAsia="宋体"/>
          <w:color w:val="auto"/>
          <w:sz w:val="21"/>
          <w:szCs w:val="21"/>
        </w:rPr>
        <w:t>附件11. 技术规格偏离表格式</w:t>
      </w:r>
      <w:bookmarkEnd w:id="160"/>
    </w:p>
    <w:p>
      <w:pPr>
        <w:jc w:val="center"/>
        <w:rPr>
          <w:rFonts w:ascii="黑体" w:eastAsia="黑体"/>
          <w:color w:val="auto"/>
          <w:sz w:val="28"/>
          <w:szCs w:val="28"/>
        </w:rPr>
      </w:pPr>
    </w:p>
    <w:p>
      <w:pPr>
        <w:jc w:val="center"/>
        <w:rPr>
          <w:rFonts w:ascii="黑体" w:eastAsia="黑体"/>
          <w:color w:val="auto"/>
          <w:sz w:val="28"/>
          <w:szCs w:val="28"/>
        </w:rPr>
      </w:pPr>
      <w:r>
        <w:rPr>
          <w:rFonts w:hint="eastAsia" w:ascii="黑体" w:eastAsia="黑体"/>
          <w:color w:val="auto"/>
          <w:sz w:val="28"/>
          <w:szCs w:val="28"/>
        </w:rPr>
        <w:t>技术规格偏离表</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序号</w:t>
            </w:r>
          </w:p>
        </w:tc>
        <w:tc>
          <w:tcPr>
            <w:tcW w:w="1902"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技术要求项</w:t>
            </w:r>
          </w:p>
        </w:tc>
        <w:tc>
          <w:tcPr>
            <w:tcW w:w="1370"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招标要求</w:t>
            </w:r>
          </w:p>
        </w:tc>
        <w:tc>
          <w:tcPr>
            <w:tcW w:w="1629"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投标实际响应</w:t>
            </w:r>
          </w:p>
        </w:tc>
        <w:tc>
          <w:tcPr>
            <w:tcW w:w="1239"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是否偏离</w:t>
            </w:r>
          </w:p>
        </w:tc>
        <w:tc>
          <w:tcPr>
            <w:tcW w:w="1544"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rPr>
            </w:pPr>
          </w:p>
        </w:tc>
        <w:tc>
          <w:tcPr>
            <w:tcW w:w="1902" w:type="dxa"/>
            <w:vAlign w:val="center"/>
          </w:tcPr>
          <w:p>
            <w:pPr>
              <w:jc w:val="center"/>
              <w:rPr>
                <w:rFonts w:ascii="宋体" w:hAnsi="宋体" w:eastAsia="宋体"/>
                <w:color w:val="auto"/>
                <w:sz w:val="21"/>
                <w:szCs w:val="21"/>
              </w:rPr>
            </w:pPr>
          </w:p>
        </w:tc>
        <w:tc>
          <w:tcPr>
            <w:tcW w:w="1370" w:type="dxa"/>
            <w:vAlign w:val="center"/>
          </w:tcPr>
          <w:p>
            <w:pPr>
              <w:jc w:val="center"/>
              <w:rPr>
                <w:rFonts w:ascii="宋体" w:hAnsi="宋体" w:eastAsia="宋体"/>
                <w:color w:val="auto"/>
                <w:sz w:val="21"/>
                <w:szCs w:val="21"/>
              </w:rPr>
            </w:pPr>
          </w:p>
        </w:tc>
        <w:tc>
          <w:tcPr>
            <w:tcW w:w="1629" w:type="dxa"/>
            <w:vAlign w:val="center"/>
          </w:tcPr>
          <w:p>
            <w:pPr>
              <w:jc w:val="center"/>
              <w:rPr>
                <w:rFonts w:ascii="宋体" w:hAnsi="宋体" w:eastAsia="宋体"/>
                <w:color w:val="auto"/>
                <w:sz w:val="21"/>
                <w:szCs w:val="21"/>
              </w:rPr>
            </w:pPr>
          </w:p>
        </w:tc>
        <w:tc>
          <w:tcPr>
            <w:tcW w:w="1239" w:type="dxa"/>
            <w:vAlign w:val="center"/>
          </w:tcPr>
          <w:p>
            <w:pPr>
              <w:jc w:val="center"/>
              <w:rPr>
                <w:rFonts w:ascii="宋体" w:hAnsi="宋体" w:eastAsia="宋体"/>
                <w:color w:val="auto"/>
                <w:sz w:val="21"/>
                <w:szCs w:val="21"/>
              </w:rPr>
            </w:pPr>
          </w:p>
        </w:tc>
        <w:tc>
          <w:tcPr>
            <w:tcW w:w="1544"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rPr>
            </w:pPr>
          </w:p>
        </w:tc>
        <w:tc>
          <w:tcPr>
            <w:tcW w:w="1902" w:type="dxa"/>
            <w:vAlign w:val="center"/>
          </w:tcPr>
          <w:p>
            <w:pPr>
              <w:jc w:val="center"/>
              <w:rPr>
                <w:rFonts w:ascii="宋体" w:hAnsi="宋体" w:eastAsia="宋体"/>
                <w:color w:val="auto"/>
                <w:sz w:val="21"/>
                <w:szCs w:val="21"/>
              </w:rPr>
            </w:pPr>
          </w:p>
        </w:tc>
        <w:tc>
          <w:tcPr>
            <w:tcW w:w="1370" w:type="dxa"/>
            <w:vAlign w:val="center"/>
          </w:tcPr>
          <w:p>
            <w:pPr>
              <w:jc w:val="center"/>
              <w:rPr>
                <w:rFonts w:ascii="宋体" w:hAnsi="宋体" w:eastAsia="宋体"/>
                <w:color w:val="auto"/>
                <w:sz w:val="21"/>
                <w:szCs w:val="21"/>
              </w:rPr>
            </w:pPr>
          </w:p>
        </w:tc>
        <w:tc>
          <w:tcPr>
            <w:tcW w:w="1629" w:type="dxa"/>
            <w:vAlign w:val="center"/>
          </w:tcPr>
          <w:p>
            <w:pPr>
              <w:jc w:val="center"/>
              <w:rPr>
                <w:rFonts w:ascii="宋体" w:hAnsi="宋体" w:eastAsia="宋体"/>
                <w:color w:val="auto"/>
                <w:sz w:val="21"/>
                <w:szCs w:val="21"/>
              </w:rPr>
            </w:pPr>
          </w:p>
        </w:tc>
        <w:tc>
          <w:tcPr>
            <w:tcW w:w="1239" w:type="dxa"/>
            <w:vAlign w:val="center"/>
          </w:tcPr>
          <w:p>
            <w:pPr>
              <w:jc w:val="center"/>
              <w:rPr>
                <w:rFonts w:ascii="宋体" w:hAnsi="宋体" w:eastAsia="宋体"/>
                <w:color w:val="auto"/>
                <w:sz w:val="21"/>
                <w:szCs w:val="21"/>
              </w:rPr>
            </w:pPr>
          </w:p>
        </w:tc>
        <w:tc>
          <w:tcPr>
            <w:tcW w:w="1544"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rPr>
            </w:pPr>
          </w:p>
        </w:tc>
        <w:tc>
          <w:tcPr>
            <w:tcW w:w="1902" w:type="dxa"/>
            <w:vAlign w:val="center"/>
          </w:tcPr>
          <w:p>
            <w:pPr>
              <w:jc w:val="center"/>
              <w:rPr>
                <w:rFonts w:ascii="宋体" w:hAnsi="宋体" w:eastAsia="宋体"/>
                <w:color w:val="auto"/>
                <w:sz w:val="21"/>
                <w:szCs w:val="21"/>
              </w:rPr>
            </w:pPr>
          </w:p>
        </w:tc>
        <w:tc>
          <w:tcPr>
            <w:tcW w:w="1370" w:type="dxa"/>
            <w:vAlign w:val="center"/>
          </w:tcPr>
          <w:p>
            <w:pPr>
              <w:jc w:val="center"/>
              <w:rPr>
                <w:rFonts w:ascii="宋体" w:hAnsi="宋体" w:eastAsia="宋体"/>
                <w:color w:val="auto"/>
                <w:sz w:val="21"/>
                <w:szCs w:val="21"/>
              </w:rPr>
            </w:pPr>
          </w:p>
        </w:tc>
        <w:tc>
          <w:tcPr>
            <w:tcW w:w="1629" w:type="dxa"/>
            <w:vAlign w:val="center"/>
          </w:tcPr>
          <w:p>
            <w:pPr>
              <w:jc w:val="center"/>
              <w:rPr>
                <w:rFonts w:ascii="宋体" w:hAnsi="宋体" w:eastAsia="宋体"/>
                <w:color w:val="auto"/>
                <w:sz w:val="21"/>
                <w:szCs w:val="21"/>
              </w:rPr>
            </w:pPr>
          </w:p>
        </w:tc>
        <w:tc>
          <w:tcPr>
            <w:tcW w:w="1239" w:type="dxa"/>
            <w:vAlign w:val="center"/>
          </w:tcPr>
          <w:p>
            <w:pPr>
              <w:jc w:val="center"/>
              <w:rPr>
                <w:rFonts w:ascii="宋体" w:hAnsi="宋体" w:eastAsia="宋体"/>
                <w:color w:val="auto"/>
                <w:sz w:val="21"/>
                <w:szCs w:val="21"/>
              </w:rPr>
            </w:pPr>
          </w:p>
        </w:tc>
        <w:tc>
          <w:tcPr>
            <w:tcW w:w="1544"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rPr>
            </w:pPr>
          </w:p>
        </w:tc>
        <w:tc>
          <w:tcPr>
            <w:tcW w:w="1902" w:type="dxa"/>
            <w:vAlign w:val="center"/>
          </w:tcPr>
          <w:p>
            <w:pPr>
              <w:jc w:val="center"/>
              <w:rPr>
                <w:rFonts w:ascii="宋体" w:hAnsi="宋体" w:eastAsia="宋体"/>
                <w:color w:val="auto"/>
                <w:sz w:val="21"/>
                <w:szCs w:val="21"/>
              </w:rPr>
            </w:pPr>
          </w:p>
        </w:tc>
        <w:tc>
          <w:tcPr>
            <w:tcW w:w="1370" w:type="dxa"/>
            <w:vAlign w:val="center"/>
          </w:tcPr>
          <w:p>
            <w:pPr>
              <w:jc w:val="center"/>
              <w:rPr>
                <w:rFonts w:ascii="宋体" w:hAnsi="宋体" w:eastAsia="宋体"/>
                <w:color w:val="auto"/>
                <w:sz w:val="21"/>
                <w:szCs w:val="21"/>
              </w:rPr>
            </w:pPr>
          </w:p>
        </w:tc>
        <w:tc>
          <w:tcPr>
            <w:tcW w:w="1629" w:type="dxa"/>
            <w:vAlign w:val="center"/>
          </w:tcPr>
          <w:p>
            <w:pPr>
              <w:jc w:val="center"/>
              <w:rPr>
                <w:rFonts w:ascii="宋体" w:hAnsi="宋体" w:eastAsia="宋体"/>
                <w:color w:val="auto"/>
                <w:sz w:val="21"/>
                <w:szCs w:val="21"/>
              </w:rPr>
            </w:pPr>
          </w:p>
        </w:tc>
        <w:tc>
          <w:tcPr>
            <w:tcW w:w="1239" w:type="dxa"/>
            <w:vAlign w:val="center"/>
          </w:tcPr>
          <w:p>
            <w:pPr>
              <w:jc w:val="center"/>
              <w:rPr>
                <w:rFonts w:ascii="宋体" w:hAnsi="宋体" w:eastAsia="宋体"/>
                <w:color w:val="auto"/>
                <w:sz w:val="21"/>
                <w:szCs w:val="21"/>
              </w:rPr>
            </w:pPr>
          </w:p>
        </w:tc>
        <w:tc>
          <w:tcPr>
            <w:tcW w:w="1544"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rPr>
            </w:pPr>
          </w:p>
        </w:tc>
        <w:tc>
          <w:tcPr>
            <w:tcW w:w="1902" w:type="dxa"/>
            <w:vAlign w:val="center"/>
          </w:tcPr>
          <w:p>
            <w:pPr>
              <w:jc w:val="center"/>
              <w:rPr>
                <w:rFonts w:ascii="宋体" w:hAnsi="宋体" w:eastAsia="宋体"/>
                <w:color w:val="auto"/>
                <w:sz w:val="21"/>
                <w:szCs w:val="21"/>
              </w:rPr>
            </w:pPr>
          </w:p>
        </w:tc>
        <w:tc>
          <w:tcPr>
            <w:tcW w:w="1370" w:type="dxa"/>
            <w:vAlign w:val="center"/>
          </w:tcPr>
          <w:p>
            <w:pPr>
              <w:jc w:val="center"/>
              <w:rPr>
                <w:rFonts w:ascii="宋体" w:hAnsi="宋体" w:eastAsia="宋体"/>
                <w:color w:val="auto"/>
                <w:sz w:val="21"/>
                <w:szCs w:val="21"/>
              </w:rPr>
            </w:pPr>
          </w:p>
        </w:tc>
        <w:tc>
          <w:tcPr>
            <w:tcW w:w="1629" w:type="dxa"/>
            <w:vAlign w:val="center"/>
          </w:tcPr>
          <w:p>
            <w:pPr>
              <w:jc w:val="center"/>
              <w:rPr>
                <w:rFonts w:ascii="宋体" w:hAnsi="宋体" w:eastAsia="宋体"/>
                <w:color w:val="auto"/>
                <w:sz w:val="21"/>
                <w:szCs w:val="21"/>
              </w:rPr>
            </w:pPr>
          </w:p>
        </w:tc>
        <w:tc>
          <w:tcPr>
            <w:tcW w:w="1239" w:type="dxa"/>
            <w:vAlign w:val="center"/>
          </w:tcPr>
          <w:p>
            <w:pPr>
              <w:jc w:val="center"/>
              <w:rPr>
                <w:rFonts w:ascii="宋体" w:hAnsi="宋体" w:eastAsia="宋体"/>
                <w:color w:val="auto"/>
                <w:sz w:val="21"/>
                <w:szCs w:val="21"/>
              </w:rPr>
            </w:pPr>
          </w:p>
        </w:tc>
        <w:tc>
          <w:tcPr>
            <w:tcW w:w="1544"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rPr>
            </w:pPr>
          </w:p>
        </w:tc>
        <w:tc>
          <w:tcPr>
            <w:tcW w:w="1902" w:type="dxa"/>
            <w:vAlign w:val="center"/>
          </w:tcPr>
          <w:p>
            <w:pPr>
              <w:jc w:val="center"/>
              <w:rPr>
                <w:rFonts w:ascii="宋体" w:hAnsi="宋体" w:eastAsia="宋体"/>
                <w:color w:val="auto"/>
                <w:sz w:val="21"/>
                <w:szCs w:val="21"/>
              </w:rPr>
            </w:pPr>
          </w:p>
        </w:tc>
        <w:tc>
          <w:tcPr>
            <w:tcW w:w="1370" w:type="dxa"/>
            <w:vAlign w:val="center"/>
          </w:tcPr>
          <w:p>
            <w:pPr>
              <w:jc w:val="center"/>
              <w:rPr>
                <w:rFonts w:ascii="宋体" w:hAnsi="宋体" w:eastAsia="宋体"/>
                <w:color w:val="auto"/>
                <w:sz w:val="21"/>
                <w:szCs w:val="21"/>
              </w:rPr>
            </w:pPr>
          </w:p>
        </w:tc>
        <w:tc>
          <w:tcPr>
            <w:tcW w:w="1629" w:type="dxa"/>
            <w:vAlign w:val="center"/>
          </w:tcPr>
          <w:p>
            <w:pPr>
              <w:jc w:val="center"/>
              <w:rPr>
                <w:rFonts w:ascii="宋体" w:hAnsi="宋体" w:eastAsia="宋体"/>
                <w:color w:val="auto"/>
                <w:sz w:val="21"/>
                <w:szCs w:val="21"/>
              </w:rPr>
            </w:pPr>
          </w:p>
        </w:tc>
        <w:tc>
          <w:tcPr>
            <w:tcW w:w="1239" w:type="dxa"/>
            <w:vAlign w:val="center"/>
          </w:tcPr>
          <w:p>
            <w:pPr>
              <w:jc w:val="center"/>
              <w:rPr>
                <w:rFonts w:ascii="宋体" w:hAnsi="宋体" w:eastAsia="宋体"/>
                <w:color w:val="auto"/>
                <w:sz w:val="21"/>
                <w:szCs w:val="21"/>
              </w:rPr>
            </w:pPr>
          </w:p>
        </w:tc>
        <w:tc>
          <w:tcPr>
            <w:tcW w:w="1544"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rPr>
            </w:pPr>
          </w:p>
        </w:tc>
        <w:tc>
          <w:tcPr>
            <w:tcW w:w="1902" w:type="dxa"/>
            <w:vAlign w:val="center"/>
          </w:tcPr>
          <w:p>
            <w:pPr>
              <w:jc w:val="center"/>
              <w:rPr>
                <w:rFonts w:ascii="宋体" w:hAnsi="宋体" w:eastAsia="宋体"/>
                <w:color w:val="auto"/>
                <w:sz w:val="21"/>
                <w:szCs w:val="21"/>
              </w:rPr>
            </w:pPr>
          </w:p>
        </w:tc>
        <w:tc>
          <w:tcPr>
            <w:tcW w:w="1370" w:type="dxa"/>
            <w:vAlign w:val="center"/>
          </w:tcPr>
          <w:p>
            <w:pPr>
              <w:jc w:val="center"/>
              <w:rPr>
                <w:rFonts w:ascii="宋体" w:hAnsi="宋体" w:eastAsia="宋体"/>
                <w:color w:val="auto"/>
                <w:sz w:val="21"/>
                <w:szCs w:val="21"/>
              </w:rPr>
            </w:pPr>
          </w:p>
        </w:tc>
        <w:tc>
          <w:tcPr>
            <w:tcW w:w="1629" w:type="dxa"/>
            <w:vAlign w:val="center"/>
          </w:tcPr>
          <w:p>
            <w:pPr>
              <w:jc w:val="center"/>
              <w:rPr>
                <w:rFonts w:ascii="宋体" w:hAnsi="宋体" w:eastAsia="宋体"/>
                <w:color w:val="auto"/>
                <w:sz w:val="21"/>
                <w:szCs w:val="21"/>
              </w:rPr>
            </w:pPr>
          </w:p>
        </w:tc>
        <w:tc>
          <w:tcPr>
            <w:tcW w:w="1239" w:type="dxa"/>
            <w:vAlign w:val="center"/>
          </w:tcPr>
          <w:p>
            <w:pPr>
              <w:jc w:val="center"/>
              <w:rPr>
                <w:rFonts w:ascii="宋体" w:hAnsi="宋体" w:eastAsia="宋体"/>
                <w:color w:val="auto"/>
                <w:sz w:val="21"/>
                <w:szCs w:val="21"/>
              </w:rPr>
            </w:pPr>
          </w:p>
        </w:tc>
        <w:tc>
          <w:tcPr>
            <w:tcW w:w="1544"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rPr>
            </w:pPr>
          </w:p>
        </w:tc>
        <w:tc>
          <w:tcPr>
            <w:tcW w:w="1902" w:type="dxa"/>
            <w:vAlign w:val="center"/>
          </w:tcPr>
          <w:p>
            <w:pPr>
              <w:jc w:val="center"/>
              <w:rPr>
                <w:rFonts w:ascii="宋体" w:hAnsi="宋体" w:eastAsia="宋体"/>
                <w:color w:val="auto"/>
                <w:sz w:val="21"/>
                <w:szCs w:val="21"/>
              </w:rPr>
            </w:pPr>
          </w:p>
        </w:tc>
        <w:tc>
          <w:tcPr>
            <w:tcW w:w="1370" w:type="dxa"/>
            <w:vAlign w:val="center"/>
          </w:tcPr>
          <w:p>
            <w:pPr>
              <w:jc w:val="center"/>
              <w:rPr>
                <w:rFonts w:ascii="宋体" w:hAnsi="宋体" w:eastAsia="宋体"/>
                <w:color w:val="auto"/>
                <w:sz w:val="21"/>
                <w:szCs w:val="21"/>
              </w:rPr>
            </w:pPr>
          </w:p>
        </w:tc>
        <w:tc>
          <w:tcPr>
            <w:tcW w:w="1629" w:type="dxa"/>
            <w:vAlign w:val="center"/>
          </w:tcPr>
          <w:p>
            <w:pPr>
              <w:jc w:val="center"/>
              <w:rPr>
                <w:rFonts w:ascii="宋体" w:hAnsi="宋体" w:eastAsia="宋体"/>
                <w:color w:val="auto"/>
                <w:sz w:val="21"/>
                <w:szCs w:val="21"/>
              </w:rPr>
            </w:pPr>
          </w:p>
        </w:tc>
        <w:tc>
          <w:tcPr>
            <w:tcW w:w="1239" w:type="dxa"/>
            <w:vAlign w:val="center"/>
          </w:tcPr>
          <w:p>
            <w:pPr>
              <w:jc w:val="center"/>
              <w:rPr>
                <w:rFonts w:ascii="宋体" w:hAnsi="宋体" w:eastAsia="宋体"/>
                <w:color w:val="auto"/>
                <w:sz w:val="21"/>
                <w:szCs w:val="21"/>
              </w:rPr>
            </w:pPr>
          </w:p>
        </w:tc>
        <w:tc>
          <w:tcPr>
            <w:tcW w:w="1544"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rPr>
            </w:pPr>
          </w:p>
        </w:tc>
        <w:tc>
          <w:tcPr>
            <w:tcW w:w="1902" w:type="dxa"/>
            <w:vAlign w:val="center"/>
          </w:tcPr>
          <w:p>
            <w:pPr>
              <w:jc w:val="center"/>
              <w:rPr>
                <w:rFonts w:ascii="宋体" w:hAnsi="宋体" w:eastAsia="宋体"/>
                <w:color w:val="auto"/>
                <w:sz w:val="21"/>
                <w:szCs w:val="21"/>
              </w:rPr>
            </w:pPr>
          </w:p>
        </w:tc>
        <w:tc>
          <w:tcPr>
            <w:tcW w:w="1370" w:type="dxa"/>
            <w:vAlign w:val="center"/>
          </w:tcPr>
          <w:p>
            <w:pPr>
              <w:jc w:val="center"/>
              <w:rPr>
                <w:rFonts w:ascii="宋体" w:hAnsi="宋体" w:eastAsia="宋体"/>
                <w:color w:val="auto"/>
                <w:sz w:val="21"/>
                <w:szCs w:val="21"/>
              </w:rPr>
            </w:pPr>
          </w:p>
        </w:tc>
        <w:tc>
          <w:tcPr>
            <w:tcW w:w="1629" w:type="dxa"/>
            <w:vAlign w:val="center"/>
          </w:tcPr>
          <w:p>
            <w:pPr>
              <w:jc w:val="center"/>
              <w:rPr>
                <w:rFonts w:ascii="宋体" w:hAnsi="宋体" w:eastAsia="宋体"/>
                <w:color w:val="auto"/>
                <w:sz w:val="21"/>
                <w:szCs w:val="21"/>
              </w:rPr>
            </w:pPr>
          </w:p>
        </w:tc>
        <w:tc>
          <w:tcPr>
            <w:tcW w:w="1239" w:type="dxa"/>
            <w:vAlign w:val="center"/>
          </w:tcPr>
          <w:p>
            <w:pPr>
              <w:jc w:val="center"/>
              <w:rPr>
                <w:rFonts w:ascii="宋体" w:hAnsi="宋体" w:eastAsia="宋体"/>
                <w:color w:val="auto"/>
                <w:sz w:val="21"/>
                <w:szCs w:val="21"/>
              </w:rPr>
            </w:pPr>
          </w:p>
        </w:tc>
        <w:tc>
          <w:tcPr>
            <w:tcW w:w="1544"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rPr>
            </w:pPr>
          </w:p>
        </w:tc>
        <w:tc>
          <w:tcPr>
            <w:tcW w:w="1902" w:type="dxa"/>
            <w:vAlign w:val="center"/>
          </w:tcPr>
          <w:p>
            <w:pPr>
              <w:jc w:val="center"/>
              <w:rPr>
                <w:rFonts w:ascii="宋体" w:hAnsi="宋体" w:eastAsia="宋体"/>
                <w:color w:val="auto"/>
                <w:sz w:val="21"/>
                <w:szCs w:val="21"/>
              </w:rPr>
            </w:pPr>
          </w:p>
        </w:tc>
        <w:tc>
          <w:tcPr>
            <w:tcW w:w="1370" w:type="dxa"/>
            <w:vAlign w:val="center"/>
          </w:tcPr>
          <w:p>
            <w:pPr>
              <w:jc w:val="center"/>
              <w:rPr>
                <w:rFonts w:ascii="宋体" w:hAnsi="宋体" w:eastAsia="宋体"/>
                <w:color w:val="auto"/>
                <w:sz w:val="21"/>
                <w:szCs w:val="21"/>
              </w:rPr>
            </w:pPr>
          </w:p>
        </w:tc>
        <w:tc>
          <w:tcPr>
            <w:tcW w:w="1629" w:type="dxa"/>
            <w:vAlign w:val="center"/>
          </w:tcPr>
          <w:p>
            <w:pPr>
              <w:jc w:val="center"/>
              <w:rPr>
                <w:rFonts w:ascii="宋体" w:hAnsi="宋体" w:eastAsia="宋体"/>
                <w:color w:val="auto"/>
                <w:sz w:val="21"/>
                <w:szCs w:val="21"/>
              </w:rPr>
            </w:pPr>
          </w:p>
        </w:tc>
        <w:tc>
          <w:tcPr>
            <w:tcW w:w="1239" w:type="dxa"/>
            <w:vAlign w:val="center"/>
          </w:tcPr>
          <w:p>
            <w:pPr>
              <w:jc w:val="center"/>
              <w:rPr>
                <w:rFonts w:ascii="宋体" w:hAnsi="宋体" w:eastAsia="宋体"/>
                <w:color w:val="auto"/>
                <w:sz w:val="21"/>
                <w:szCs w:val="21"/>
              </w:rPr>
            </w:pPr>
          </w:p>
        </w:tc>
        <w:tc>
          <w:tcPr>
            <w:tcW w:w="1544" w:type="dxa"/>
            <w:vAlign w:val="center"/>
          </w:tcPr>
          <w:p>
            <w:pPr>
              <w:jc w:val="center"/>
              <w:rPr>
                <w:rFonts w:ascii="宋体" w:hAnsi="宋体" w:eastAsia="宋体"/>
                <w:color w:val="auto"/>
                <w:sz w:val="21"/>
                <w:szCs w:val="21"/>
              </w:rPr>
            </w:pPr>
          </w:p>
        </w:tc>
      </w:tr>
    </w:tbl>
    <w:p>
      <w:pPr>
        <w:rPr>
          <w:rFonts w:ascii="宋体" w:hAnsi="宋体" w:eastAsia="宋体"/>
          <w:color w:val="auto"/>
          <w:sz w:val="21"/>
          <w:szCs w:val="21"/>
        </w:rPr>
      </w:pPr>
    </w:p>
    <w:p>
      <w:pPr>
        <w:rPr>
          <w:rFonts w:ascii="宋体" w:hAnsi="宋体" w:eastAsia="宋体"/>
          <w:color w:val="auto"/>
          <w:sz w:val="21"/>
          <w:szCs w:val="21"/>
        </w:rPr>
      </w:pPr>
      <w:r>
        <w:rPr>
          <w:rFonts w:hint="eastAsia" w:ascii="宋体" w:hAnsi="宋体" w:eastAsia="宋体"/>
          <w:color w:val="auto"/>
          <w:sz w:val="21"/>
          <w:szCs w:val="21"/>
        </w:rPr>
        <w:t>投标人代表签字：</w:t>
      </w:r>
    </w:p>
    <w:p>
      <w:pPr>
        <w:rPr>
          <w:rFonts w:ascii="宋体" w:hAnsi="宋体" w:eastAsia="宋体"/>
          <w:color w:val="auto"/>
          <w:sz w:val="21"/>
          <w:szCs w:val="21"/>
        </w:rPr>
      </w:pPr>
      <w:r>
        <w:rPr>
          <w:rFonts w:hint="eastAsia" w:ascii="宋体" w:hAnsi="宋体" w:eastAsia="宋体"/>
          <w:color w:val="auto"/>
          <w:sz w:val="21"/>
          <w:szCs w:val="21"/>
        </w:rPr>
        <w:t>投标人盖章：</w:t>
      </w:r>
    </w:p>
    <w:p>
      <w:pPr>
        <w:ind w:firstLine="178" w:firstLineChars="85"/>
        <w:rPr>
          <w:rFonts w:ascii="宋体" w:hAnsi="宋体" w:eastAsia="宋体"/>
          <w:color w:val="auto"/>
          <w:sz w:val="21"/>
          <w:szCs w:val="21"/>
        </w:rPr>
      </w:pPr>
    </w:p>
    <w:p>
      <w:pPr>
        <w:rPr>
          <w:rFonts w:ascii="宋体" w:hAnsi="宋体" w:eastAsia="宋体"/>
          <w:color w:val="auto"/>
          <w:sz w:val="21"/>
          <w:szCs w:val="21"/>
        </w:rPr>
      </w:pPr>
      <w:r>
        <w:rPr>
          <w:rFonts w:hint="eastAsia" w:ascii="宋体" w:hAnsi="宋体" w:eastAsia="宋体"/>
          <w:color w:val="auto"/>
          <w:sz w:val="21"/>
          <w:szCs w:val="21"/>
        </w:rPr>
        <w:t>注：</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1、偏离项中填写“正”、“负”或“无”，说明项中填写原因。</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2、投标人应对照招标文件技术规格，说明所提供服务已对招标文件的技术规格做出实质性的响应，并申明与技术规格条文的偏差和例外。特别对有具体参数要求的指标，投标人必须提供所投设备的具体参数值。</w:t>
      </w:r>
    </w:p>
    <w:p>
      <w:pPr>
        <w:spacing w:after="0" w:line="360" w:lineRule="auto"/>
        <w:rPr>
          <w:rFonts w:ascii="宋体" w:hAnsi="宋体" w:eastAsia="宋体"/>
          <w:color w:val="auto"/>
          <w:sz w:val="21"/>
          <w:szCs w:val="21"/>
        </w:rPr>
      </w:pPr>
    </w:p>
    <w:p>
      <w:pPr>
        <w:adjustRightInd/>
        <w:snapToGrid/>
        <w:spacing w:line="276" w:lineRule="auto"/>
        <w:rPr>
          <w:color w:val="auto"/>
        </w:rPr>
      </w:pPr>
    </w:p>
    <w:p>
      <w:pPr>
        <w:adjustRightInd/>
        <w:snapToGrid/>
        <w:spacing w:line="276" w:lineRule="auto"/>
        <w:rPr>
          <w:color w:val="auto"/>
        </w:rPr>
      </w:pPr>
    </w:p>
    <w:p>
      <w:pPr>
        <w:adjustRightInd/>
        <w:snapToGrid/>
        <w:spacing w:line="276" w:lineRule="auto"/>
        <w:rPr>
          <w:color w:val="auto"/>
        </w:rPr>
      </w:pPr>
    </w:p>
    <w:p>
      <w:pPr>
        <w:rPr>
          <w:rFonts w:ascii="宋体" w:hAnsi="宋体" w:eastAsia="宋体"/>
          <w:color w:val="auto"/>
          <w:sz w:val="21"/>
          <w:szCs w:val="21"/>
        </w:rPr>
      </w:pPr>
      <w:bookmarkStart w:id="161" w:name="_Toc17691"/>
      <w:r>
        <w:rPr>
          <w:rFonts w:hint="eastAsia" w:ascii="宋体" w:hAnsi="宋体" w:eastAsia="宋体"/>
          <w:color w:val="auto"/>
          <w:sz w:val="21"/>
          <w:szCs w:val="21"/>
        </w:rPr>
        <w:br w:type="page"/>
      </w:r>
    </w:p>
    <w:p>
      <w:pPr>
        <w:pStyle w:val="6"/>
        <w:widowControl w:val="0"/>
        <w:overflowPunct w:val="0"/>
        <w:spacing w:before="0" w:after="0" w:line="240" w:lineRule="auto"/>
        <w:rPr>
          <w:rFonts w:ascii="宋体" w:hAnsi="宋体" w:eastAsia="宋体" w:cs="Times New Roman"/>
          <w:b w:val="0"/>
          <w:bCs w:val="0"/>
          <w:color w:val="auto"/>
          <w:sz w:val="32"/>
          <w:szCs w:val="32"/>
        </w:rPr>
      </w:pPr>
      <w:bookmarkStart w:id="162" w:name="_Toc29613"/>
      <w:r>
        <w:rPr>
          <w:rFonts w:hint="eastAsia" w:ascii="宋体" w:hAnsi="宋体" w:eastAsia="宋体"/>
          <w:color w:val="auto"/>
          <w:sz w:val="21"/>
          <w:szCs w:val="21"/>
        </w:rPr>
        <w:t>附件12.重要技术参数（▲）响应表</w:t>
      </w:r>
      <w:bookmarkEnd w:id="161"/>
      <w:bookmarkEnd w:id="162"/>
    </w:p>
    <w:p>
      <w:pPr>
        <w:jc w:val="center"/>
        <w:rPr>
          <w:rFonts w:ascii="黑体" w:eastAsia="黑体"/>
          <w:color w:val="auto"/>
          <w:sz w:val="28"/>
          <w:szCs w:val="28"/>
        </w:rPr>
      </w:pPr>
      <w:bookmarkStart w:id="163" w:name="_Toc4827"/>
      <w:bookmarkStart w:id="164" w:name="_Toc1274"/>
      <w:bookmarkStart w:id="165" w:name="_Toc4464"/>
      <w:bookmarkStart w:id="166" w:name="_Toc18668"/>
      <w:bookmarkStart w:id="167" w:name="_Toc26078"/>
      <w:bookmarkStart w:id="168" w:name="_Toc6080"/>
    </w:p>
    <w:p>
      <w:pPr>
        <w:jc w:val="center"/>
        <w:rPr>
          <w:rFonts w:ascii="黑体" w:eastAsia="黑体"/>
          <w:color w:val="auto"/>
          <w:sz w:val="28"/>
          <w:szCs w:val="28"/>
        </w:rPr>
      </w:pPr>
      <w:r>
        <w:rPr>
          <w:rFonts w:hint="eastAsia" w:ascii="黑体" w:eastAsia="黑体"/>
          <w:color w:val="auto"/>
          <w:sz w:val="28"/>
          <w:szCs w:val="28"/>
        </w:rPr>
        <w:t>重要技术参数（▲）响应表</w:t>
      </w:r>
      <w:bookmarkEnd w:id="163"/>
      <w:bookmarkEnd w:id="164"/>
      <w:bookmarkEnd w:id="165"/>
      <w:bookmarkEnd w:id="166"/>
      <w:bookmarkEnd w:id="167"/>
      <w:bookmarkEnd w:id="168"/>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rPr>
            </w:pPr>
            <w:bookmarkStart w:id="169" w:name="_Toc21739"/>
            <w:bookmarkStart w:id="170" w:name="_Toc2700"/>
            <w:bookmarkStart w:id="171" w:name="_Toc14815"/>
            <w:bookmarkStart w:id="172" w:name="_Toc15903"/>
            <w:bookmarkStart w:id="173" w:name="_Toc12049"/>
            <w:bookmarkStart w:id="174" w:name="_Toc27090"/>
            <w:bookmarkStart w:id="175" w:name="_Toc4304"/>
            <w:bookmarkStart w:id="176" w:name="_Toc16872"/>
            <w:bookmarkStart w:id="177" w:name="_Toc22448"/>
            <w:bookmarkStart w:id="178" w:name="_Toc10045"/>
            <w:r>
              <w:rPr>
                <w:rFonts w:hint="eastAsia" w:ascii="宋体" w:hAnsi="宋体" w:eastAsia="宋体" w:cs="Times New Roman"/>
                <w:color w:val="auto"/>
                <w:sz w:val="21"/>
                <w:szCs w:val="21"/>
              </w:rPr>
              <w:t>技术参数（▲）</w:t>
            </w:r>
            <w:bookmarkEnd w:id="169"/>
            <w:bookmarkEnd w:id="170"/>
            <w:bookmarkEnd w:id="171"/>
            <w:bookmarkEnd w:id="172"/>
            <w:bookmarkEnd w:id="173"/>
            <w:bookmarkEnd w:id="174"/>
            <w:bookmarkEnd w:id="175"/>
            <w:bookmarkEnd w:id="176"/>
            <w:bookmarkEnd w:id="177"/>
            <w:bookmarkEnd w:id="178"/>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rPr>
            </w:pPr>
            <w:bookmarkStart w:id="179" w:name="_Toc19251"/>
            <w:bookmarkStart w:id="180" w:name="_Toc21809"/>
            <w:bookmarkStart w:id="181" w:name="_Toc7333"/>
            <w:bookmarkStart w:id="182" w:name="_Toc22879"/>
            <w:bookmarkStart w:id="183" w:name="_Toc24662"/>
            <w:bookmarkStart w:id="184" w:name="_Toc8490"/>
            <w:bookmarkStart w:id="185" w:name="_Toc27442"/>
            <w:bookmarkStart w:id="186" w:name="_Toc8312"/>
            <w:bookmarkStart w:id="187" w:name="_Toc22917"/>
            <w:bookmarkStart w:id="188" w:name="_Toc32531"/>
            <w:r>
              <w:rPr>
                <w:rFonts w:hint="eastAsia" w:ascii="宋体" w:hAnsi="宋体" w:eastAsia="宋体" w:cs="Times New Roman"/>
                <w:color w:val="auto"/>
                <w:sz w:val="21"/>
                <w:szCs w:val="21"/>
              </w:rPr>
              <w:t>是否响应</w:t>
            </w:r>
            <w:bookmarkEnd w:id="179"/>
            <w:bookmarkEnd w:id="180"/>
            <w:bookmarkEnd w:id="181"/>
            <w:bookmarkEnd w:id="182"/>
            <w:bookmarkEnd w:id="183"/>
            <w:bookmarkEnd w:id="184"/>
            <w:bookmarkEnd w:id="185"/>
            <w:bookmarkEnd w:id="186"/>
            <w:bookmarkEnd w:id="187"/>
            <w:bookmarkEnd w:id="188"/>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rPr>
            </w:pPr>
            <w:bookmarkStart w:id="189" w:name="_Toc20820"/>
            <w:bookmarkStart w:id="190" w:name="_Toc5563"/>
            <w:bookmarkStart w:id="191" w:name="_Toc17642"/>
            <w:bookmarkStart w:id="192" w:name="_Toc17296"/>
            <w:bookmarkStart w:id="193" w:name="_Toc1912"/>
            <w:bookmarkStart w:id="194" w:name="_Toc27185"/>
            <w:bookmarkStart w:id="195" w:name="_Toc5992"/>
            <w:bookmarkStart w:id="196" w:name="_Toc20139"/>
            <w:bookmarkStart w:id="197" w:name="_Toc1330"/>
            <w:bookmarkStart w:id="198" w:name="_Toc3701"/>
            <w:r>
              <w:rPr>
                <w:rFonts w:hint="eastAsia" w:ascii="宋体" w:hAnsi="宋体" w:eastAsia="宋体" w:cs="Times New Roman"/>
                <w:color w:val="auto"/>
                <w:sz w:val="21"/>
                <w:szCs w:val="21"/>
              </w:rPr>
              <w:t>页码范围</w:t>
            </w:r>
            <w:bookmarkEnd w:id="189"/>
            <w:bookmarkEnd w:id="190"/>
            <w:bookmarkEnd w:id="191"/>
            <w:bookmarkEnd w:id="192"/>
            <w:bookmarkEnd w:id="193"/>
            <w:bookmarkEnd w:id="194"/>
            <w:bookmarkEnd w:id="195"/>
            <w:bookmarkEnd w:id="196"/>
            <w:bookmarkEnd w:id="197"/>
            <w:bookmarkEnd w:id="1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rPr>
            </w:pPr>
          </w:p>
        </w:tc>
      </w:tr>
    </w:tbl>
    <w:p>
      <w:pPr>
        <w:pStyle w:val="24"/>
        <w:spacing w:after="0" w:line="360" w:lineRule="auto"/>
        <w:rPr>
          <w:rFonts w:ascii="宋体" w:hAnsi="宋体" w:eastAsia="宋体"/>
          <w:color w:val="auto"/>
          <w:sz w:val="21"/>
          <w:szCs w:val="21"/>
        </w:rPr>
      </w:pPr>
    </w:p>
    <w:p>
      <w:pPr>
        <w:pStyle w:val="24"/>
        <w:spacing w:after="0" w:line="360" w:lineRule="auto"/>
        <w:rPr>
          <w:rFonts w:ascii="宋体" w:hAnsi="宋体" w:eastAsia="宋体"/>
          <w:color w:val="auto"/>
          <w:sz w:val="21"/>
          <w:szCs w:val="21"/>
        </w:rPr>
      </w:pPr>
      <w:r>
        <w:rPr>
          <w:rFonts w:hint="eastAsia" w:ascii="宋体" w:hAnsi="宋体" w:eastAsia="宋体"/>
          <w:color w:val="auto"/>
          <w:sz w:val="21"/>
          <w:szCs w:val="21"/>
        </w:rPr>
        <w:t>注：</w:t>
      </w:r>
    </w:p>
    <w:p>
      <w:pPr>
        <w:pStyle w:val="24"/>
        <w:numPr>
          <w:ilvl w:val="0"/>
          <w:numId w:val="13"/>
        </w:numPr>
        <w:spacing w:after="0" w:line="360" w:lineRule="auto"/>
        <w:rPr>
          <w:rFonts w:ascii="宋体" w:hAnsi="宋体" w:eastAsia="宋体"/>
          <w:color w:val="auto"/>
          <w:sz w:val="21"/>
          <w:szCs w:val="21"/>
        </w:rPr>
      </w:pPr>
      <w:r>
        <w:rPr>
          <w:rFonts w:hint="eastAsia" w:ascii="宋体" w:hAnsi="宋体" w:eastAsia="宋体"/>
          <w:color w:val="auto"/>
          <w:sz w:val="21"/>
          <w:szCs w:val="21"/>
        </w:rPr>
        <w:t>该表格为参考格式，投标人可按实际情况自行制订。</w:t>
      </w:r>
    </w:p>
    <w:p>
      <w:pPr>
        <w:pStyle w:val="24"/>
        <w:numPr>
          <w:ilvl w:val="0"/>
          <w:numId w:val="13"/>
        </w:numPr>
        <w:spacing w:after="0" w:line="360" w:lineRule="auto"/>
        <w:ind w:firstLine="422"/>
        <w:rPr>
          <w:rFonts w:ascii="宋体" w:hAnsi="宋体" w:eastAsia="宋体"/>
          <w:b/>
          <w:bCs/>
          <w:color w:val="auto"/>
          <w:sz w:val="21"/>
          <w:szCs w:val="21"/>
        </w:rPr>
      </w:pPr>
      <w:r>
        <w:rPr>
          <w:rFonts w:hint="eastAsia" w:ascii="宋体" w:hAnsi="宋体" w:eastAsia="宋体"/>
          <w:b/>
          <w:bCs/>
          <w:color w:val="auto"/>
          <w:sz w:val="21"/>
          <w:szCs w:val="21"/>
        </w:rPr>
        <w:t>投标人可按项目的实际需要提供本表格。招标文件内未涉及▲参数的，此表可以不用提供。</w:t>
      </w:r>
    </w:p>
    <w:p>
      <w:pPr>
        <w:pStyle w:val="24"/>
        <w:numPr>
          <w:ilvl w:val="0"/>
          <w:numId w:val="13"/>
        </w:numPr>
        <w:spacing w:after="0" w:line="360" w:lineRule="auto"/>
        <w:rPr>
          <w:rFonts w:ascii="宋体" w:hAnsi="宋体" w:eastAsia="宋体"/>
          <w:color w:val="auto"/>
          <w:sz w:val="21"/>
          <w:szCs w:val="21"/>
        </w:rPr>
      </w:pPr>
      <w:r>
        <w:rPr>
          <w:rFonts w:hint="eastAsia" w:ascii="宋体" w:hAnsi="宋体" w:eastAsia="宋体"/>
          <w:color w:val="auto"/>
          <w:sz w:val="21"/>
          <w:szCs w:val="21"/>
        </w:rPr>
        <w:t>响应表所列出的材料应为真实准确的，若文件需要，应提供相关证明材料复印件加盖公章。请勿提供虚假、过期材料，否则将依据相关规定严肃处理</w:t>
      </w:r>
    </w:p>
    <w:p>
      <w:pPr>
        <w:pStyle w:val="24"/>
        <w:numPr>
          <w:ilvl w:val="0"/>
          <w:numId w:val="13"/>
        </w:numPr>
        <w:spacing w:after="0" w:line="360" w:lineRule="auto"/>
        <w:rPr>
          <w:rFonts w:ascii="宋体" w:hAnsi="宋体" w:eastAsia="宋体"/>
          <w:color w:val="auto"/>
          <w:sz w:val="21"/>
          <w:szCs w:val="21"/>
        </w:rPr>
      </w:pPr>
      <w:r>
        <w:rPr>
          <w:rFonts w:hint="eastAsia" w:ascii="宋体" w:hAnsi="宋体" w:eastAsia="宋体"/>
          <w:color w:val="auto"/>
          <w:sz w:val="21"/>
          <w:szCs w:val="21"/>
        </w:rPr>
        <w:t>若招标文件有需求，投标文件未提供重要技术参数（</w:t>
      </w:r>
      <w:r>
        <w:rPr>
          <w:rFonts w:hint="eastAsia" w:ascii="宋体" w:hAnsi="宋体" w:eastAsia="宋体" w:cs="Times New Roman"/>
          <w:color w:val="auto"/>
          <w:sz w:val="21"/>
          <w:szCs w:val="21"/>
        </w:rPr>
        <w:t>▲</w:t>
      </w:r>
      <w:r>
        <w:rPr>
          <w:rFonts w:hint="eastAsia" w:ascii="宋体" w:hAnsi="宋体" w:eastAsia="宋体"/>
          <w:color w:val="auto"/>
          <w:sz w:val="21"/>
          <w:szCs w:val="21"/>
        </w:rPr>
        <w:t>）响应表对投标人投标产生负面影响的，投标人自行承担后果。</w:t>
      </w:r>
    </w:p>
    <w:p>
      <w:pPr>
        <w:pStyle w:val="24"/>
        <w:numPr>
          <w:ilvl w:val="0"/>
          <w:numId w:val="13"/>
        </w:numPr>
        <w:spacing w:after="0"/>
        <w:rPr>
          <w:rFonts w:ascii="宋体" w:hAnsi="宋体" w:eastAsia="宋体"/>
          <w:color w:val="auto"/>
          <w:sz w:val="21"/>
          <w:szCs w:val="21"/>
        </w:rPr>
      </w:pPr>
      <w:r>
        <w:rPr>
          <w:rFonts w:hint="eastAsia" w:ascii="宋体" w:hAnsi="宋体" w:eastAsia="宋体"/>
          <w:color w:val="auto"/>
          <w:sz w:val="21"/>
          <w:szCs w:val="21"/>
        </w:rPr>
        <w:br w:type="page"/>
      </w:r>
    </w:p>
    <w:p>
      <w:pPr>
        <w:pStyle w:val="6"/>
        <w:widowControl w:val="0"/>
        <w:overflowPunct w:val="0"/>
        <w:spacing w:before="0" w:after="0" w:line="240" w:lineRule="auto"/>
        <w:rPr>
          <w:rFonts w:ascii="宋体" w:hAnsi="宋体" w:eastAsia="宋体"/>
          <w:color w:val="auto"/>
          <w:sz w:val="30"/>
          <w:szCs w:val="30"/>
        </w:rPr>
      </w:pPr>
      <w:bookmarkStart w:id="199" w:name="_Toc27674"/>
      <w:r>
        <w:rPr>
          <w:rFonts w:hint="eastAsia" w:ascii="宋体" w:hAnsi="宋体" w:eastAsia="宋体"/>
          <w:color w:val="auto"/>
          <w:sz w:val="21"/>
          <w:szCs w:val="21"/>
        </w:rPr>
        <w:t>附件13.业绩表</w:t>
      </w:r>
      <w:bookmarkEnd w:id="199"/>
    </w:p>
    <w:p>
      <w:pPr>
        <w:jc w:val="center"/>
        <w:rPr>
          <w:rFonts w:ascii="黑体" w:eastAsia="黑体"/>
          <w:color w:val="auto"/>
          <w:sz w:val="28"/>
          <w:szCs w:val="28"/>
        </w:rPr>
      </w:pPr>
      <w:r>
        <w:rPr>
          <w:rFonts w:hint="eastAsia" w:ascii="黑体" w:eastAsia="黑体"/>
          <w:color w:val="auto"/>
          <w:sz w:val="28"/>
          <w:szCs w:val="28"/>
        </w:rPr>
        <w:t>业绩表</w:t>
      </w:r>
    </w:p>
    <w:tbl>
      <w:tblPr>
        <w:tblStyle w:val="17"/>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rPr>
            </w:pPr>
            <w:r>
              <w:rPr>
                <w:rFonts w:hint="eastAsia" w:ascii="宋体" w:hAnsi="宋体" w:eastAsia="宋体"/>
                <w:color w:val="auto"/>
                <w:sz w:val="21"/>
                <w:szCs w:val="21"/>
              </w:rPr>
              <w:t>序号</w:t>
            </w:r>
          </w:p>
        </w:tc>
        <w:tc>
          <w:tcPr>
            <w:tcW w:w="1705" w:type="dxa"/>
            <w:vAlign w:val="center"/>
          </w:tcPr>
          <w:p>
            <w:pPr>
              <w:adjustRightInd/>
              <w:snapToGrid/>
              <w:spacing w:after="0"/>
              <w:jc w:val="center"/>
              <w:rPr>
                <w:rFonts w:ascii="宋体" w:hAnsi="宋体" w:eastAsia="宋体"/>
                <w:color w:val="auto"/>
                <w:sz w:val="21"/>
                <w:szCs w:val="21"/>
              </w:rPr>
            </w:pPr>
            <w:r>
              <w:rPr>
                <w:rFonts w:hint="eastAsia" w:ascii="宋体" w:hAnsi="宋体" w:eastAsia="宋体"/>
                <w:color w:val="auto"/>
                <w:sz w:val="21"/>
                <w:szCs w:val="21"/>
              </w:rPr>
              <w:t>项目名称</w:t>
            </w:r>
          </w:p>
        </w:tc>
        <w:tc>
          <w:tcPr>
            <w:tcW w:w="1706" w:type="dxa"/>
            <w:vAlign w:val="center"/>
          </w:tcPr>
          <w:p>
            <w:pPr>
              <w:adjustRightInd/>
              <w:snapToGrid/>
              <w:spacing w:after="0"/>
              <w:jc w:val="center"/>
              <w:rPr>
                <w:rFonts w:ascii="宋体" w:hAnsi="宋体" w:eastAsia="宋体"/>
                <w:color w:val="auto"/>
                <w:sz w:val="21"/>
                <w:szCs w:val="21"/>
              </w:rPr>
            </w:pPr>
            <w:r>
              <w:rPr>
                <w:rFonts w:hint="eastAsia" w:ascii="宋体" w:hAnsi="宋体" w:eastAsia="宋体"/>
                <w:color w:val="auto"/>
                <w:sz w:val="21"/>
                <w:szCs w:val="21"/>
              </w:rPr>
              <w:t>项目金额</w:t>
            </w:r>
          </w:p>
        </w:tc>
        <w:tc>
          <w:tcPr>
            <w:tcW w:w="1705" w:type="dxa"/>
            <w:vAlign w:val="center"/>
          </w:tcPr>
          <w:p>
            <w:pPr>
              <w:adjustRightInd/>
              <w:snapToGrid/>
              <w:spacing w:after="0"/>
              <w:jc w:val="center"/>
              <w:rPr>
                <w:rFonts w:ascii="宋体" w:hAnsi="宋体" w:eastAsia="宋体"/>
                <w:color w:val="auto"/>
                <w:sz w:val="21"/>
                <w:szCs w:val="21"/>
              </w:rPr>
            </w:pPr>
            <w:r>
              <w:rPr>
                <w:rFonts w:hint="eastAsia" w:ascii="宋体" w:hAnsi="宋体" w:eastAsia="宋体"/>
                <w:color w:val="auto"/>
                <w:sz w:val="21"/>
                <w:szCs w:val="21"/>
              </w:rPr>
              <w:t>项目合同签订时间</w:t>
            </w:r>
          </w:p>
        </w:tc>
        <w:tc>
          <w:tcPr>
            <w:tcW w:w="1697" w:type="dxa"/>
            <w:vAlign w:val="center"/>
          </w:tcPr>
          <w:p>
            <w:pPr>
              <w:adjustRightInd/>
              <w:snapToGrid/>
              <w:spacing w:after="0"/>
              <w:jc w:val="center"/>
              <w:rPr>
                <w:rFonts w:ascii="宋体" w:hAnsi="宋体" w:eastAsia="宋体"/>
                <w:color w:val="auto"/>
                <w:sz w:val="21"/>
                <w:szCs w:val="21"/>
              </w:rPr>
            </w:pPr>
            <w:r>
              <w:rPr>
                <w:rFonts w:hint="eastAsia" w:ascii="宋体" w:hAnsi="宋体" w:eastAsia="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rPr>
            </w:pPr>
          </w:p>
        </w:tc>
        <w:tc>
          <w:tcPr>
            <w:tcW w:w="1705" w:type="dxa"/>
            <w:vAlign w:val="center"/>
          </w:tcPr>
          <w:p>
            <w:pPr>
              <w:adjustRightInd/>
              <w:snapToGrid/>
              <w:spacing w:after="0"/>
              <w:jc w:val="center"/>
              <w:rPr>
                <w:rFonts w:ascii="宋体" w:hAnsi="宋体" w:eastAsia="宋体"/>
                <w:color w:val="auto"/>
                <w:sz w:val="21"/>
                <w:szCs w:val="21"/>
              </w:rPr>
            </w:pPr>
          </w:p>
        </w:tc>
        <w:tc>
          <w:tcPr>
            <w:tcW w:w="1706" w:type="dxa"/>
            <w:vAlign w:val="center"/>
          </w:tcPr>
          <w:p>
            <w:pPr>
              <w:adjustRightInd/>
              <w:snapToGrid/>
              <w:spacing w:after="0"/>
              <w:jc w:val="center"/>
              <w:rPr>
                <w:rFonts w:ascii="宋体" w:hAnsi="宋体" w:eastAsia="宋体"/>
                <w:color w:val="auto"/>
                <w:sz w:val="21"/>
                <w:szCs w:val="21"/>
              </w:rPr>
            </w:pPr>
          </w:p>
        </w:tc>
        <w:tc>
          <w:tcPr>
            <w:tcW w:w="1705" w:type="dxa"/>
            <w:vAlign w:val="center"/>
          </w:tcPr>
          <w:p>
            <w:pPr>
              <w:adjustRightInd/>
              <w:snapToGrid/>
              <w:spacing w:after="0"/>
              <w:jc w:val="center"/>
              <w:rPr>
                <w:rFonts w:ascii="宋体" w:hAnsi="宋体" w:eastAsia="宋体"/>
                <w:color w:val="auto"/>
                <w:sz w:val="21"/>
                <w:szCs w:val="21"/>
              </w:rPr>
            </w:pPr>
          </w:p>
        </w:tc>
        <w:tc>
          <w:tcPr>
            <w:tcW w:w="1697" w:type="dxa"/>
            <w:vAlign w:val="center"/>
          </w:tcPr>
          <w:p>
            <w:pPr>
              <w:adjustRightInd/>
              <w:snapToGrid/>
              <w:spacing w:after="0"/>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rPr>
            </w:pPr>
          </w:p>
        </w:tc>
        <w:tc>
          <w:tcPr>
            <w:tcW w:w="1705" w:type="dxa"/>
          </w:tcPr>
          <w:p>
            <w:pPr>
              <w:adjustRightInd/>
              <w:snapToGrid/>
              <w:spacing w:after="0"/>
              <w:rPr>
                <w:rFonts w:ascii="宋体" w:hAnsi="宋体" w:eastAsia="宋体"/>
                <w:color w:val="auto"/>
                <w:sz w:val="21"/>
                <w:szCs w:val="21"/>
              </w:rPr>
            </w:pPr>
          </w:p>
        </w:tc>
        <w:tc>
          <w:tcPr>
            <w:tcW w:w="1706" w:type="dxa"/>
          </w:tcPr>
          <w:p>
            <w:pPr>
              <w:adjustRightInd/>
              <w:snapToGrid/>
              <w:spacing w:after="0"/>
              <w:rPr>
                <w:rFonts w:ascii="宋体" w:hAnsi="宋体" w:eastAsia="宋体"/>
                <w:color w:val="auto"/>
                <w:sz w:val="21"/>
                <w:szCs w:val="21"/>
              </w:rPr>
            </w:pPr>
          </w:p>
        </w:tc>
        <w:tc>
          <w:tcPr>
            <w:tcW w:w="1705" w:type="dxa"/>
          </w:tcPr>
          <w:p>
            <w:pPr>
              <w:adjustRightInd/>
              <w:snapToGrid/>
              <w:spacing w:after="0"/>
              <w:rPr>
                <w:rFonts w:ascii="宋体" w:hAnsi="宋体" w:eastAsia="宋体"/>
                <w:color w:val="auto"/>
                <w:sz w:val="21"/>
                <w:szCs w:val="21"/>
              </w:rPr>
            </w:pPr>
          </w:p>
        </w:tc>
        <w:tc>
          <w:tcPr>
            <w:tcW w:w="1697" w:type="dxa"/>
          </w:tcPr>
          <w:p>
            <w:pPr>
              <w:adjustRightInd/>
              <w:snapToGrid/>
              <w:spacing w:after="0"/>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rPr>
            </w:pPr>
          </w:p>
        </w:tc>
        <w:tc>
          <w:tcPr>
            <w:tcW w:w="1705" w:type="dxa"/>
          </w:tcPr>
          <w:p>
            <w:pPr>
              <w:adjustRightInd/>
              <w:snapToGrid/>
              <w:spacing w:after="0"/>
              <w:rPr>
                <w:rFonts w:ascii="宋体" w:hAnsi="宋体" w:eastAsia="宋体"/>
                <w:color w:val="auto"/>
                <w:sz w:val="21"/>
                <w:szCs w:val="21"/>
              </w:rPr>
            </w:pPr>
          </w:p>
        </w:tc>
        <w:tc>
          <w:tcPr>
            <w:tcW w:w="1706" w:type="dxa"/>
          </w:tcPr>
          <w:p>
            <w:pPr>
              <w:adjustRightInd/>
              <w:snapToGrid/>
              <w:spacing w:after="0"/>
              <w:rPr>
                <w:rFonts w:ascii="宋体" w:hAnsi="宋体" w:eastAsia="宋体"/>
                <w:color w:val="auto"/>
                <w:sz w:val="21"/>
                <w:szCs w:val="21"/>
              </w:rPr>
            </w:pPr>
          </w:p>
        </w:tc>
        <w:tc>
          <w:tcPr>
            <w:tcW w:w="1705" w:type="dxa"/>
          </w:tcPr>
          <w:p>
            <w:pPr>
              <w:adjustRightInd/>
              <w:snapToGrid/>
              <w:spacing w:after="0"/>
              <w:rPr>
                <w:rFonts w:ascii="宋体" w:hAnsi="宋体" w:eastAsia="宋体"/>
                <w:color w:val="auto"/>
                <w:sz w:val="21"/>
                <w:szCs w:val="21"/>
              </w:rPr>
            </w:pPr>
          </w:p>
        </w:tc>
        <w:tc>
          <w:tcPr>
            <w:tcW w:w="1697" w:type="dxa"/>
          </w:tcPr>
          <w:p>
            <w:pPr>
              <w:adjustRightInd/>
              <w:snapToGrid/>
              <w:spacing w:after="0"/>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rPr>
            </w:pPr>
          </w:p>
        </w:tc>
        <w:tc>
          <w:tcPr>
            <w:tcW w:w="1705" w:type="dxa"/>
          </w:tcPr>
          <w:p>
            <w:pPr>
              <w:adjustRightInd/>
              <w:snapToGrid/>
              <w:spacing w:after="0"/>
              <w:rPr>
                <w:rFonts w:ascii="宋体" w:hAnsi="宋体" w:eastAsia="宋体"/>
                <w:color w:val="auto"/>
                <w:sz w:val="21"/>
                <w:szCs w:val="21"/>
              </w:rPr>
            </w:pPr>
          </w:p>
        </w:tc>
        <w:tc>
          <w:tcPr>
            <w:tcW w:w="1706" w:type="dxa"/>
          </w:tcPr>
          <w:p>
            <w:pPr>
              <w:adjustRightInd/>
              <w:snapToGrid/>
              <w:spacing w:after="0"/>
              <w:rPr>
                <w:rFonts w:ascii="宋体" w:hAnsi="宋体" w:eastAsia="宋体"/>
                <w:color w:val="auto"/>
                <w:sz w:val="21"/>
                <w:szCs w:val="21"/>
              </w:rPr>
            </w:pPr>
          </w:p>
        </w:tc>
        <w:tc>
          <w:tcPr>
            <w:tcW w:w="1705" w:type="dxa"/>
          </w:tcPr>
          <w:p>
            <w:pPr>
              <w:adjustRightInd/>
              <w:snapToGrid/>
              <w:spacing w:after="0"/>
              <w:rPr>
                <w:rFonts w:ascii="宋体" w:hAnsi="宋体" w:eastAsia="宋体"/>
                <w:color w:val="auto"/>
                <w:sz w:val="21"/>
                <w:szCs w:val="21"/>
              </w:rPr>
            </w:pPr>
          </w:p>
        </w:tc>
        <w:tc>
          <w:tcPr>
            <w:tcW w:w="1697" w:type="dxa"/>
          </w:tcPr>
          <w:p>
            <w:pPr>
              <w:adjustRightInd/>
              <w:snapToGrid/>
              <w:spacing w:after="0"/>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rPr>
            </w:pPr>
          </w:p>
        </w:tc>
        <w:tc>
          <w:tcPr>
            <w:tcW w:w="1705" w:type="dxa"/>
          </w:tcPr>
          <w:p>
            <w:pPr>
              <w:adjustRightInd/>
              <w:snapToGrid/>
              <w:spacing w:after="0"/>
              <w:rPr>
                <w:rFonts w:ascii="宋体" w:hAnsi="宋体" w:eastAsia="宋体"/>
                <w:color w:val="auto"/>
                <w:sz w:val="21"/>
                <w:szCs w:val="21"/>
              </w:rPr>
            </w:pPr>
          </w:p>
        </w:tc>
        <w:tc>
          <w:tcPr>
            <w:tcW w:w="1706" w:type="dxa"/>
          </w:tcPr>
          <w:p>
            <w:pPr>
              <w:adjustRightInd/>
              <w:snapToGrid/>
              <w:spacing w:after="0"/>
              <w:rPr>
                <w:rFonts w:ascii="宋体" w:hAnsi="宋体" w:eastAsia="宋体"/>
                <w:color w:val="auto"/>
                <w:sz w:val="21"/>
                <w:szCs w:val="21"/>
              </w:rPr>
            </w:pPr>
          </w:p>
        </w:tc>
        <w:tc>
          <w:tcPr>
            <w:tcW w:w="1705" w:type="dxa"/>
          </w:tcPr>
          <w:p>
            <w:pPr>
              <w:adjustRightInd/>
              <w:snapToGrid/>
              <w:spacing w:after="0"/>
              <w:rPr>
                <w:rFonts w:ascii="宋体" w:hAnsi="宋体" w:eastAsia="宋体"/>
                <w:color w:val="auto"/>
                <w:sz w:val="21"/>
                <w:szCs w:val="21"/>
              </w:rPr>
            </w:pPr>
          </w:p>
        </w:tc>
        <w:tc>
          <w:tcPr>
            <w:tcW w:w="1697" w:type="dxa"/>
          </w:tcPr>
          <w:p>
            <w:pPr>
              <w:adjustRightInd/>
              <w:snapToGrid/>
              <w:spacing w:after="0"/>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rPr>
            </w:pPr>
          </w:p>
        </w:tc>
        <w:tc>
          <w:tcPr>
            <w:tcW w:w="1705" w:type="dxa"/>
          </w:tcPr>
          <w:p>
            <w:pPr>
              <w:adjustRightInd/>
              <w:snapToGrid/>
              <w:spacing w:after="0"/>
              <w:rPr>
                <w:rFonts w:ascii="宋体" w:hAnsi="宋体" w:eastAsia="宋体"/>
                <w:color w:val="auto"/>
                <w:sz w:val="21"/>
                <w:szCs w:val="21"/>
              </w:rPr>
            </w:pPr>
          </w:p>
        </w:tc>
        <w:tc>
          <w:tcPr>
            <w:tcW w:w="1706" w:type="dxa"/>
          </w:tcPr>
          <w:p>
            <w:pPr>
              <w:adjustRightInd/>
              <w:snapToGrid/>
              <w:spacing w:after="0"/>
              <w:rPr>
                <w:rFonts w:ascii="宋体" w:hAnsi="宋体" w:eastAsia="宋体"/>
                <w:color w:val="auto"/>
                <w:sz w:val="21"/>
                <w:szCs w:val="21"/>
              </w:rPr>
            </w:pPr>
          </w:p>
        </w:tc>
        <w:tc>
          <w:tcPr>
            <w:tcW w:w="1705" w:type="dxa"/>
          </w:tcPr>
          <w:p>
            <w:pPr>
              <w:adjustRightInd/>
              <w:snapToGrid/>
              <w:spacing w:after="0"/>
              <w:rPr>
                <w:rFonts w:ascii="宋体" w:hAnsi="宋体" w:eastAsia="宋体"/>
                <w:color w:val="auto"/>
                <w:sz w:val="21"/>
                <w:szCs w:val="21"/>
              </w:rPr>
            </w:pPr>
          </w:p>
        </w:tc>
        <w:tc>
          <w:tcPr>
            <w:tcW w:w="1697" w:type="dxa"/>
          </w:tcPr>
          <w:p>
            <w:pPr>
              <w:adjustRightInd/>
              <w:snapToGrid/>
              <w:spacing w:after="0"/>
              <w:rPr>
                <w:rFonts w:ascii="宋体" w:hAnsi="宋体" w:eastAsia="宋体"/>
                <w:color w:val="auto"/>
                <w:sz w:val="21"/>
                <w:szCs w:val="21"/>
              </w:rPr>
            </w:pPr>
          </w:p>
        </w:tc>
      </w:tr>
    </w:tbl>
    <w:p>
      <w:pPr>
        <w:pStyle w:val="24"/>
        <w:spacing w:after="0"/>
        <w:rPr>
          <w:rFonts w:ascii="宋体" w:hAnsi="宋体" w:eastAsia="宋体"/>
          <w:color w:val="auto"/>
          <w:sz w:val="21"/>
          <w:szCs w:val="21"/>
        </w:rPr>
      </w:pPr>
    </w:p>
    <w:p>
      <w:pPr>
        <w:pStyle w:val="24"/>
        <w:spacing w:after="0"/>
        <w:rPr>
          <w:rFonts w:ascii="宋体" w:hAnsi="宋体" w:eastAsia="宋体"/>
          <w:color w:val="auto"/>
          <w:sz w:val="21"/>
          <w:szCs w:val="21"/>
        </w:rPr>
      </w:pPr>
      <w:r>
        <w:rPr>
          <w:rFonts w:hint="eastAsia" w:ascii="宋体" w:hAnsi="宋体" w:eastAsia="宋体"/>
          <w:color w:val="auto"/>
          <w:sz w:val="21"/>
          <w:szCs w:val="21"/>
        </w:rPr>
        <w:t>注：</w:t>
      </w:r>
    </w:p>
    <w:p>
      <w:pPr>
        <w:pStyle w:val="24"/>
        <w:numPr>
          <w:ilvl w:val="0"/>
          <w:numId w:val="14"/>
        </w:numPr>
        <w:spacing w:after="0" w:line="360" w:lineRule="auto"/>
        <w:rPr>
          <w:rFonts w:ascii="宋体" w:hAnsi="宋体" w:eastAsia="宋体"/>
          <w:color w:val="auto"/>
          <w:sz w:val="21"/>
          <w:szCs w:val="21"/>
        </w:rPr>
      </w:pPr>
      <w:r>
        <w:rPr>
          <w:rFonts w:hint="eastAsia" w:ascii="宋体" w:hAnsi="宋体" w:eastAsia="宋体"/>
          <w:color w:val="auto"/>
          <w:sz w:val="21"/>
          <w:szCs w:val="21"/>
        </w:rPr>
        <w:t>该表格为参考格式，投标人可按实际情况自行制订。</w:t>
      </w:r>
    </w:p>
    <w:p>
      <w:pPr>
        <w:pStyle w:val="24"/>
        <w:numPr>
          <w:ilvl w:val="0"/>
          <w:numId w:val="14"/>
        </w:numPr>
        <w:spacing w:after="0" w:line="360" w:lineRule="auto"/>
        <w:rPr>
          <w:rFonts w:ascii="宋体" w:hAnsi="宋体" w:eastAsia="宋体"/>
          <w:color w:val="auto"/>
          <w:sz w:val="21"/>
          <w:szCs w:val="21"/>
        </w:rPr>
      </w:pPr>
      <w:r>
        <w:rPr>
          <w:rFonts w:hint="eastAsia" w:ascii="宋体" w:hAnsi="宋体" w:eastAsia="宋体"/>
          <w:color w:val="auto"/>
          <w:sz w:val="21"/>
          <w:szCs w:val="21"/>
        </w:rPr>
        <w:t>业绩表所列出的材料应为真实准确的，并应提供相关证明材料复印件加盖公章。请勿提供虚假、过期材料，否则将依据相关规定严肃处理。</w:t>
      </w:r>
    </w:p>
    <w:p>
      <w:pPr>
        <w:pStyle w:val="24"/>
        <w:numPr>
          <w:ilvl w:val="0"/>
          <w:numId w:val="14"/>
        </w:numPr>
        <w:spacing w:after="0"/>
        <w:rPr>
          <w:rFonts w:ascii="宋体" w:hAnsi="宋体" w:eastAsia="宋体"/>
          <w:color w:val="auto"/>
          <w:sz w:val="21"/>
          <w:szCs w:val="21"/>
        </w:rPr>
      </w:pPr>
      <w:r>
        <w:rPr>
          <w:rFonts w:hint="eastAsia" w:ascii="宋体" w:hAnsi="宋体" w:eastAsia="宋体"/>
          <w:color w:val="auto"/>
          <w:sz w:val="21"/>
          <w:szCs w:val="21"/>
        </w:rPr>
        <w:br w:type="page"/>
      </w:r>
    </w:p>
    <w:p>
      <w:pPr>
        <w:pStyle w:val="6"/>
        <w:widowControl w:val="0"/>
        <w:overflowPunct w:val="0"/>
        <w:spacing w:before="0" w:after="0" w:line="240" w:lineRule="auto"/>
        <w:rPr>
          <w:rFonts w:ascii="宋体" w:hAnsi="宋体" w:eastAsia="宋体"/>
          <w:color w:val="auto"/>
          <w:sz w:val="21"/>
          <w:szCs w:val="21"/>
        </w:rPr>
      </w:pPr>
      <w:bookmarkStart w:id="200" w:name="_Toc7860"/>
      <w:r>
        <w:rPr>
          <w:rFonts w:hint="eastAsia" w:ascii="宋体" w:hAnsi="宋体" w:eastAsia="宋体"/>
          <w:color w:val="auto"/>
          <w:sz w:val="21"/>
          <w:szCs w:val="21"/>
        </w:rPr>
        <w:t>附件14. 项目实施方案格式</w:t>
      </w:r>
      <w:bookmarkEnd w:id="200"/>
    </w:p>
    <w:p>
      <w:pPr>
        <w:jc w:val="center"/>
        <w:rPr>
          <w:rFonts w:ascii="黑体" w:eastAsia="黑体"/>
          <w:color w:val="auto"/>
          <w:sz w:val="32"/>
          <w:szCs w:val="32"/>
        </w:rPr>
      </w:pPr>
    </w:p>
    <w:p>
      <w:pPr>
        <w:jc w:val="center"/>
        <w:rPr>
          <w:rFonts w:ascii="黑体" w:eastAsia="黑体"/>
          <w:color w:val="auto"/>
          <w:sz w:val="32"/>
          <w:szCs w:val="32"/>
        </w:rPr>
      </w:pPr>
      <w:r>
        <w:rPr>
          <w:rFonts w:hint="eastAsia" w:ascii="黑体" w:eastAsia="黑体"/>
          <w:color w:val="auto"/>
          <w:sz w:val="32"/>
          <w:szCs w:val="32"/>
        </w:rPr>
        <w:t>项目实施方案</w:t>
      </w:r>
    </w:p>
    <w:p>
      <w:pPr>
        <w:jc w:val="center"/>
        <w:rPr>
          <w:rFonts w:ascii="黑体" w:eastAsia="黑体"/>
          <w:color w:val="auto"/>
          <w:sz w:val="32"/>
          <w:szCs w:val="32"/>
        </w:rPr>
      </w:pPr>
    </w:p>
    <w:p>
      <w:pPr>
        <w:spacing w:after="0" w:line="360" w:lineRule="auto"/>
        <w:ind w:left="738" w:leftChars="200" w:hanging="298" w:hangingChars="142"/>
        <w:rPr>
          <w:rFonts w:ascii="宋体" w:hAnsi="宋体" w:eastAsia="宋体"/>
          <w:color w:val="auto"/>
          <w:sz w:val="21"/>
          <w:szCs w:val="21"/>
        </w:rPr>
      </w:pPr>
      <w:r>
        <w:rPr>
          <w:rFonts w:hint="eastAsia" w:ascii="宋体" w:hAnsi="宋体" w:eastAsia="宋体"/>
          <w:color w:val="auto"/>
          <w:sz w:val="21"/>
          <w:szCs w:val="21"/>
        </w:rPr>
        <w:t>1、为完成本项目投标人临时投入的设备</w:t>
      </w:r>
    </w:p>
    <w:p>
      <w:pPr>
        <w:spacing w:after="0" w:line="360" w:lineRule="auto"/>
        <w:ind w:left="738" w:leftChars="200" w:hanging="298" w:hangingChars="142"/>
        <w:rPr>
          <w:rFonts w:ascii="宋体" w:hAnsi="宋体" w:eastAsia="宋体"/>
          <w:color w:val="auto"/>
          <w:sz w:val="21"/>
          <w:szCs w:val="21"/>
        </w:rPr>
      </w:pPr>
      <w:r>
        <w:rPr>
          <w:rFonts w:hint="eastAsia" w:ascii="宋体" w:hAnsi="宋体" w:eastAsia="宋体"/>
          <w:color w:val="auto"/>
          <w:sz w:val="21"/>
          <w:szCs w:val="21"/>
        </w:rPr>
        <w:t>2、为完成本项目投标人投入的人员以及具体工作安排</w:t>
      </w:r>
    </w:p>
    <w:p>
      <w:pPr>
        <w:spacing w:after="0" w:line="360" w:lineRule="auto"/>
        <w:ind w:left="738" w:leftChars="200" w:hanging="298" w:hangingChars="142"/>
        <w:rPr>
          <w:rFonts w:ascii="宋体" w:hAnsi="宋体" w:eastAsia="宋体"/>
          <w:color w:val="auto"/>
          <w:sz w:val="21"/>
          <w:szCs w:val="21"/>
        </w:rPr>
      </w:pPr>
      <w:r>
        <w:rPr>
          <w:rFonts w:hint="eastAsia" w:ascii="宋体" w:hAnsi="宋体" w:eastAsia="宋体"/>
          <w:color w:val="auto"/>
          <w:sz w:val="21"/>
          <w:szCs w:val="21"/>
        </w:rPr>
        <w:t>3、投标人为本项目制定的具体项目实施方案与项目实施流程</w:t>
      </w:r>
    </w:p>
    <w:p>
      <w:pPr>
        <w:spacing w:after="0" w:line="360" w:lineRule="auto"/>
        <w:ind w:left="738" w:leftChars="200" w:hanging="298" w:hangingChars="142"/>
        <w:rPr>
          <w:rFonts w:ascii="宋体" w:hAnsi="宋体" w:eastAsia="宋体"/>
          <w:color w:val="auto"/>
          <w:sz w:val="21"/>
          <w:szCs w:val="21"/>
        </w:rPr>
      </w:pPr>
      <w:r>
        <w:rPr>
          <w:rFonts w:hint="eastAsia" w:ascii="宋体" w:hAnsi="宋体" w:eastAsia="宋体"/>
          <w:color w:val="auto"/>
          <w:sz w:val="21"/>
          <w:szCs w:val="21"/>
        </w:rPr>
        <w:t>4、售后服务方案</w:t>
      </w:r>
    </w:p>
    <w:p>
      <w:pPr>
        <w:spacing w:after="0" w:line="360" w:lineRule="auto"/>
        <w:ind w:left="738" w:leftChars="200" w:hanging="298" w:hangingChars="142"/>
        <w:rPr>
          <w:rFonts w:ascii="宋体" w:hAnsi="宋体" w:eastAsia="宋体"/>
          <w:color w:val="auto"/>
          <w:sz w:val="21"/>
          <w:szCs w:val="21"/>
        </w:rPr>
      </w:pPr>
      <w:r>
        <w:rPr>
          <w:rFonts w:hint="eastAsia" w:ascii="宋体" w:hAnsi="宋体" w:eastAsia="宋体"/>
          <w:color w:val="auto"/>
          <w:sz w:val="21"/>
          <w:szCs w:val="21"/>
        </w:rPr>
        <w:t>5、..........</w:t>
      </w:r>
    </w:p>
    <w:p>
      <w:pPr>
        <w:spacing w:after="0" w:line="360" w:lineRule="auto"/>
        <w:ind w:left="738" w:leftChars="200" w:hanging="298" w:hangingChars="142"/>
        <w:rPr>
          <w:rFonts w:ascii="宋体" w:hAnsi="宋体" w:eastAsia="宋体" w:cs="Times New Roman"/>
          <w:color w:val="auto"/>
          <w:sz w:val="21"/>
          <w:szCs w:val="21"/>
        </w:rPr>
      </w:pPr>
      <w:r>
        <w:rPr>
          <w:rFonts w:hint="eastAsia" w:ascii="宋体" w:hAnsi="宋体" w:eastAsia="宋体"/>
          <w:color w:val="auto"/>
          <w:sz w:val="21"/>
          <w:szCs w:val="21"/>
        </w:rPr>
        <w:t>自行编写。</w:t>
      </w:r>
    </w:p>
    <w:p>
      <w:pPr>
        <w:spacing w:after="0" w:line="360" w:lineRule="auto"/>
        <w:ind w:left="738" w:leftChars="200" w:hanging="298" w:hangingChars="142"/>
        <w:rPr>
          <w:rFonts w:ascii="宋体" w:hAnsi="宋体" w:eastAsia="宋体"/>
          <w:color w:val="auto"/>
          <w:sz w:val="21"/>
          <w:szCs w:val="21"/>
        </w:rPr>
      </w:pPr>
    </w:p>
    <w:p>
      <w:pPr>
        <w:spacing w:after="0" w:line="360" w:lineRule="auto"/>
        <w:ind w:left="738" w:leftChars="200" w:hanging="298" w:hangingChars="142"/>
        <w:rPr>
          <w:rFonts w:ascii="宋体" w:hAnsi="宋体" w:eastAsia="宋体"/>
          <w:color w:val="auto"/>
          <w:sz w:val="21"/>
          <w:szCs w:val="21"/>
        </w:rPr>
      </w:pPr>
    </w:p>
    <w:p>
      <w:pPr>
        <w:spacing w:after="0" w:line="360" w:lineRule="auto"/>
        <w:ind w:left="738" w:leftChars="200" w:hanging="298" w:hangingChars="142"/>
        <w:rPr>
          <w:rFonts w:ascii="宋体" w:hAnsi="宋体" w:eastAsia="宋体"/>
          <w:color w:val="auto"/>
          <w:sz w:val="21"/>
          <w:szCs w:val="21"/>
        </w:rPr>
      </w:pPr>
      <w:r>
        <w:rPr>
          <w:rFonts w:hint="eastAsia" w:ascii="宋体" w:hAnsi="宋体" w:eastAsia="宋体"/>
          <w:color w:val="auto"/>
          <w:sz w:val="21"/>
          <w:szCs w:val="21"/>
        </w:rPr>
        <w:br w:type="page"/>
      </w:r>
    </w:p>
    <w:p>
      <w:pPr>
        <w:pStyle w:val="6"/>
        <w:widowControl w:val="0"/>
        <w:overflowPunct w:val="0"/>
        <w:spacing w:before="0" w:after="0" w:line="240" w:lineRule="auto"/>
        <w:rPr>
          <w:rFonts w:ascii="宋体" w:hAnsi="宋体" w:eastAsia="宋体"/>
          <w:color w:val="auto"/>
          <w:sz w:val="21"/>
          <w:szCs w:val="21"/>
        </w:rPr>
      </w:pPr>
      <w:bookmarkStart w:id="201" w:name="_Toc8596"/>
      <w:r>
        <w:rPr>
          <w:rFonts w:hint="eastAsia" w:ascii="宋体" w:hAnsi="宋体" w:eastAsia="宋体"/>
          <w:color w:val="auto"/>
          <w:sz w:val="21"/>
          <w:szCs w:val="21"/>
        </w:rPr>
        <w:t>附件15. 实施本项目的有关人员资料表格式</w:t>
      </w:r>
      <w:bookmarkEnd w:id="201"/>
    </w:p>
    <w:p>
      <w:pPr>
        <w:jc w:val="center"/>
        <w:rPr>
          <w:rFonts w:ascii="宋体" w:hAnsi="宋体" w:eastAsia="宋体"/>
          <w:color w:val="auto"/>
          <w:sz w:val="21"/>
          <w:szCs w:val="21"/>
        </w:rPr>
      </w:pPr>
    </w:p>
    <w:p>
      <w:pPr>
        <w:jc w:val="center"/>
        <w:rPr>
          <w:rFonts w:ascii="黑体" w:eastAsia="黑体"/>
          <w:color w:val="auto"/>
          <w:sz w:val="32"/>
          <w:szCs w:val="32"/>
        </w:rPr>
      </w:pPr>
      <w:r>
        <w:rPr>
          <w:rFonts w:hint="eastAsia" w:ascii="黑体" w:eastAsia="黑体"/>
          <w:color w:val="auto"/>
          <w:sz w:val="32"/>
          <w:szCs w:val="32"/>
        </w:rPr>
        <w:t>实施本项目的有关人员资料表</w:t>
      </w:r>
    </w:p>
    <w:tbl>
      <w:tblPr>
        <w:tblStyle w:val="16"/>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序号</w:t>
            </w:r>
          </w:p>
        </w:tc>
        <w:tc>
          <w:tcPr>
            <w:tcW w:w="822"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姓名</w:t>
            </w:r>
          </w:p>
        </w:tc>
        <w:tc>
          <w:tcPr>
            <w:tcW w:w="1392"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本项目拟任岗位</w:t>
            </w:r>
          </w:p>
        </w:tc>
        <w:tc>
          <w:tcPr>
            <w:tcW w:w="763"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性别</w:t>
            </w:r>
          </w:p>
        </w:tc>
        <w:tc>
          <w:tcPr>
            <w:tcW w:w="708"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年龄</w:t>
            </w:r>
          </w:p>
        </w:tc>
        <w:tc>
          <w:tcPr>
            <w:tcW w:w="851"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技术职称</w:t>
            </w:r>
          </w:p>
        </w:tc>
        <w:tc>
          <w:tcPr>
            <w:tcW w:w="850"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专 业</w:t>
            </w:r>
          </w:p>
        </w:tc>
        <w:tc>
          <w:tcPr>
            <w:tcW w:w="788"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资质证书</w:t>
            </w:r>
          </w:p>
        </w:tc>
        <w:tc>
          <w:tcPr>
            <w:tcW w:w="1090" w:type="dxa"/>
            <w:tcBorders>
              <w:right w:val="single" w:color="auto" w:sz="6" w:space="0"/>
            </w:tcBorders>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rPr>
            </w:pPr>
          </w:p>
        </w:tc>
        <w:tc>
          <w:tcPr>
            <w:tcW w:w="822" w:type="dxa"/>
            <w:vAlign w:val="center"/>
          </w:tcPr>
          <w:p>
            <w:pPr>
              <w:spacing w:line="288" w:lineRule="auto"/>
              <w:jc w:val="center"/>
              <w:rPr>
                <w:rFonts w:ascii="宋体" w:hAnsi="宋体" w:eastAsia="宋体"/>
                <w:color w:val="auto"/>
                <w:sz w:val="21"/>
                <w:szCs w:val="21"/>
              </w:rPr>
            </w:pPr>
          </w:p>
        </w:tc>
        <w:tc>
          <w:tcPr>
            <w:tcW w:w="1392" w:type="dxa"/>
            <w:vAlign w:val="center"/>
          </w:tcPr>
          <w:p>
            <w:pPr>
              <w:spacing w:line="288" w:lineRule="auto"/>
              <w:jc w:val="center"/>
              <w:rPr>
                <w:rFonts w:ascii="宋体" w:hAnsi="宋体" w:eastAsia="宋体"/>
                <w:color w:val="auto"/>
                <w:sz w:val="21"/>
                <w:szCs w:val="21"/>
              </w:rPr>
            </w:pPr>
          </w:p>
        </w:tc>
        <w:tc>
          <w:tcPr>
            <w:tcW w:w="763" w:type="dxa"/>
            <w:vAlign w:val="center"/>
          </w:tcPr>
          <w:p>
            <w:pPr>
              <w:spacing w:line="288" w:lineRule="auto"/>
              <w:jc w:val="center"/>
              <w:rPr>
                <w:rFonts w:ascii="宋体" w:hAnsi="宋体" w:eastAsia="宋体"/>
                <w:color w:val="auto"/>
                <w:sz w:val="21"/>
                <w:szCs w:val="21"/>
              </w:rPr>
            </w:pPr>
          </w:p>
        </w:tc>
        <w:tc>
          <w:tcPr>
            <w:tcW w:w="708" w:type="dxa"/>
            <w:vAlign w:val="center"/>
          </w:tcPr>
          <w:p>
            <w:pPr>
              <w:spacing w:line="288" w:lineRule="auto"/>
              <w:jc w:val="center"/>
              <w:rPr>
                <w:rFonts w:ascii="宋体" w:hAnsi="宋体" w:eastAsia="宋体"/>
                <w:color w:val="auto"/>
                <w:sz w:val="21"/>
                <w:szCs w:val="21"/>
              </w:rPr>
            </w:pPr>
          </w:p>
        </w:tc>
        <w:tc>
          <w:tcPr>
            <w:tcW w:w="851" w:type="dxa"/>
            <w:vAlign w:val="center"/>
          </w:tcPr>
          <w:p>
            <w:pPr>
              <w:spacing w:line="288" w:lineRule="auto"/>
              <w:jc w:val="center"/>
              <w:rPr>
                <w:rFonts w:ascii="宋体" w:hAnsi="宋体" w:eastAsia="宋体"/>
                <w:color w:val="auto"/>
                <w:sz w:val="21"/>
                <w:szCs w:val="21"/>
              </w:rPr>
            </w:pPr>
          </w:p>
        </w:tc>
        <w:tc>
          <w:tcPr>
            <w:tcW w:w="850" w:type="dxa"/>
            <w:vAlign w:val="center"/>
          </w:tcPr>
          <w:p>
            <w:pPr>
              <w:spacing w:line="288" w:lineRule="auto"/>
              <w:jc w:val="center"/>
              <w:rPr>
                <w:rFonts w:ascii="宋体" w:hAnsi="宋体" w:eastAsia="宋体"/>
                <w:color w:val="auto"/>
                <w:sz w:val="21"/>
                <w:szCs w:val="21"/>
              </w:rPr>
            </w:pPr>
          </w:p>
        </w:tc>
        <w:tc>
          <w:tcPr>
            <w:tcW w:w="788" w:type="dxa"/>
            <w:vAlign w:val="center"/>
          </w:tcPr>
          <w:p>
            <w:pPr>
              <w:spacing w:line="288" w:lineRule="auto"/>
              <w:jc w:val="center"/>
              <w:rPr>
                <w:rFonts w:ascii="宋体" w:hAnsi="宋体" w:eastAsia="宋体"/>
                <w:color w:val="auto"/>
                <w:sz w:val="21"/>
                <w:szCs w:val="21"/>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rPr>
            </w:pPr>
          </w:p>
        </w:tc>
        <w:tc>
          <w:tcPr>
            <w:tcW w:w="822" w:type="dxa"/>
            <w:vAlign w:val="center"/>
          </w:tcPr>
          <w:p>
            <w:pPr>
              <w:spacing w:line="288" w:lineRule="auto"/>
              <w:jc w:val="center"/>
              <w:rPr>
                <w:rFonts w:ascii="宋体" w:hAnsi="宋体" w:eastAsia="宋体"/>
                <w:color w:val="auto"/>
                <w:sz w:val="21"/>
                <w:szCs w:val="21"/>
              </w:rPr>
            </w:pPr>
          </w:p>
        </w:tc>
        <w:tc>
          <w:tcPr>
            <w:tcW w:w="1392" w:type="dxa"/>
            <w:vAlign w:val="center"/>
          </w:tcPr>
          <w:p>
            <w:pPr>
              <w:spacing w:line="288" w:lineRule="auto"/>
              <w:jc w:val="center"/>
              <w:rPr>
                <w:rFonts w:ascii="宋体" w:hAnsi="宋体" w:eastAsia="宋体"/>
                <w:color w:val="auto"/>
                <w:sz w:val="21"/>
                <w:szCs w:val="21"/>
              </w:rPr>
            </w:pPr>
          </w:p>
        </w:tc>
        <w:tc>
          <w:tcPr>
            <w:tcW w:w="763" w:type="dxa"/>
            <w:vAlign w:val="center"/>
          </w:tcPr>
          <w:p>
            <w:pPr>
              <w:spacing w:line="288" w:lineRule="auto"/>
              <w:jc w:val="center"/>
              <w:rPr>
                <w:rFonts w:ascii="宋体" w:hAnsi="宋体" w:eastAsia="宋体"/>
                <w:color w:val="auto"/>
                <w:sz w:val="21"/>
                <w:szCs w:val="21"/>
              </w:rPr>
            </w:pPr>
          </w:p>
        </w:tc>
        <w:tc>
          <w:tcPr>
            <w:tcW w:w="708" w:type="dxa"/>
            <w:vAlign w:val="center"/>
          </w:tcPr>
          <w:p>
            <w:pPr>
              <w:spacing w:line="288" w:lineRule="auto"/>
              <w:jc w:val="center"/>
              <w:rPr>
                <w:rFonts w:ascii="宋体" w:hAnsi="宋体" w:eastAsia="宋体"/>
                <w:color w:val="auto"/>
                <w:sz w:val="21"/>
                <w:szCs w:val="21"/>
              </w:rPr>
            </w:pPr>
          </w:p>
        </w:tc>
        <w:tc>
          <w:tcPr>
            <w:tcW w:w="851" w:type="dxa"/>
            <w:vAlign w:val="center"/>
          </w:tcPr>
          <w:p>
            <w:pPr>
              <w:spacing w:line="288" w:lineRule="auto"/>
              <w:jc w:val="center"/>
              <w:rPr>
                <w:rFonts w:ascii="宋体" w:hAnsi="宋体" w:eastAsia="宋体"/>
                <w:color w:val="auto"/>
                <w:sz w:val="21"/>
                <w:szCs w:val="21"/>
              </w:rPr>
            </w:pPr>
          </w:p>
        </w:tc>
        <w:tc>
          <w:tcPr>
            <w:tcW w:w="850" w:type="dxa"/>
            <w:vAlign w:val="center"/>
          </w:tcPr>
          <w:p>
            <w:pPr>
              <w:spacing w:line="288" w:lineRule="auto"/>
              <w:jc w:val="center"/>
              <w:rPr>
                <w:rFonts w:ascii="宋体" w:hAnsi="宋体" w:eastAsia="宋体"/>
                <w:color w:val="auto"/>
                <w:sz w:val="21"/>
                <w:szCs w:val="21"/>
              </w:rPr>
            </w:pPr>
          </w:p>
        </w:tc>
        <w:tc>
          <w:tcPr>
            <w:tcW w:w="788" w:type="dxa"/>
            <w:vAlign w:val="center"/>
          </w:tcPr>
          <w:p>
            <w:pPr>
              <w:spacing w:line="288" w:lineRule="auto"/>
              <w:jc w:val="center"/>
              <w:rPr>
                <w:rFonts w:ascii="宋体" w:hAnsi="宋体" w:eastAsia="宋体"/>
                <w:color w:val="auto"/>
                <w:sz w:val="21"/>
                <w:szCs w:val="21"/>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rPr>
            </w:pPr>
          </w:p>
        </w:tc>
        <w:tc>
          <w:tcPr>
            <w:tcW w:w="822" w:type="dxa"/>
            <w:vAlign w:val="center"/>
          </w:tcPr>
          <w:p>
            <w:pPr>
              <w:spacing w:line="288" w:lineRule="auto"/>
              <w:jc w:val="center"/>
              <w:rPr>
                <w:rFonts w:ascii="宋体" w:hAnsi="宋体" w:eastAsia="宋体"/>
                <w:color w:val="auto"/>
                <w:sz w:val="21"/>
                <w:szCs w:val="21"/>
              </w:rPr>
            </w:pPr>
          </w:p>
        </w:tc>
        <w:tc>
          <w:tcPr>
            <w:tcW w:w="1392" w:type="dxa"/>
            <w:vAlign w:val="center"/>
          </w:tcPr>
          <w:p>
            <w:pPr>
              <w:spacing w:line="288" w:lineRule="auto"/>
              <w:jc w:val="center"/>
              <w:rPr>
                <w:rFonts w:ascii="宋体" w:hAnsi="宋体" w:eastAsia="宋体"/>
                <w:color w:val="auto"/>
                <w:sz w:val="21"/>
                <w:szCs w:val="21"/>
              </w:rPr>
            </w:pPr>
          </w:p>
        </w:tc>
        <w:tc>
          <w:tcPr>
            <w:tcW w:w="763" w:type="dxa"/>
            <w:vAlign w:val="center"/>
          </w:tcPr>
          <w:p>
            <w:pPr>
              <w:spacing w:line="288" w:lineRule="auto"/>
              <w:jc w:val="center"/>
              <w:rPr>
                <w:rFonts w:ascii="宋体" w:hAnsi="宋体" w:eastAsia="宋体"/>
                <w:color w:val="auto"/>
                <w:sz w:val="21"/>
                <w:szCs w:val="21"/>
              </w:rPr>
            </w:pPr>
          </w:p>
        </w:tc>
        <w:tc>
          <w:tcPr>
            <w:tcW w:w="708" w:type="dxa"/>
            <w:vAlign w:val="center"/>
          </w:tcPr>
          <w:p>
            <w:pPr>
              <w:spacing w:line="288" w:lineRule="auto"/>
              <w:jc w:val="center"/>
              <w:rPr>
                <w:rFonts w:ascii="宋体" w:hAnsi="宋体" w:eastAsia="宋体"/>
                <w:color w:val="auto"/>
                <w:sz w:val="21"/>
                <w:szCs w:val="21"/>
              </w:rPr>
            </w:pPr>
          </w:p>
        </w:tc>
        <w:tc>
          <w:tcPr>
            <w:tcW w:w="851" w:type="dxa"/>
            <w:vAlign w:val="center"/>
          </w:tcPr>
          <w:p>
            <w:pPr>
              <w:spacing w:line="288" w:lineRule="auto"/>
              <w:jc w:val="center"/>
              <w:rPr>
                <w:rFonts w:ascii="宋体" w:hAnsi="宋体" w:eastAsia="宋体"/>
                <w:color w:val="auto"/>
                <w:sz w:val="21"/>
                <w:szCs w:val="21"/>
              </w:rPr>
            </w:pPr>
          </w:p>
        </w:tc>
        <w:tc>
          <w:tcPr>
            <w:tcW w:w="850" w:type="dxa"/>
            <w:vAlign w:val="center"/>
          </w:tcPr>
          <w:p>
            <w:pPr>
              <w:spacing w:line="288" w:lineRule="auto"/>
              <w:jc w:val="center"/>
              <w:rPr>
                <w:rFonts w:ascii="宋体" w:hAnsi="宋体" w:eastAsia="宋体"/>
                <w:color w:val="auto"/>
                <w:sz w:val="21"/>
                <w:szCs w:val="21"/>
              </w:rPr>
            </w:pPr>
          </w:p>
        </w:tc>
        <w:tc>
          <w:tcPr>
            <w:tcW w:w="788" w:type="dxa"/>
            <w:vAlign w:val="center"/>
          </w:tcPr>
          <w:p>
            <w:pPr>
              <w:spacing w:line="288" w:lineRule="auto"/>
              <w:jc w:val="center"/>
              <w:rPr>
                <w:rFonts w:ascii="宋体" w:hAnsi="宋体" w:eastAsia="宋体"/>
                <w:color w:val="auto"/>
                <w:sz w:val="21"/>
                <w:szCs w:val="21"/>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rPr>
            </w:pPr>
          </w:p>
        </w:tc>
        <w:tc>
          <w:tcPr>
            <w:tcW w:w="822" w:type="dxa"/>
            <w:vAlign w:val="center"/>
          </w:tcPr>
          <w:p>
            <w:pPr>
              <w:spacing w:line="288" w:lineRule="auto"/>
              <w:jc w:val="center"/>
              <w:rPr>
                <w:rFonts w:ascii="宋体" w:hAnsi="宋体" w:eastAsia="宋体"/>
                <w:color w:val="auto"/>
                <w:sz w:val="21"/>
                <w:szCs w:val="21"/>
              </w:rPr>
            </w:pPr>
          </w:p>
        </w:tc>
        <w:tc>
          <w:tcPr>
            <w:tcW w:w="1392" w:type="dxa"/>
            <w:vAlign w:val="center"/>
          </w:tcPr>
          <w:p>
            <w:pPr>
              <w:spacing w:line="288" w:lineRule="auto"/>
              <w:jc w:val="center"/>
              <w:rPr>
                <w:rFonts w:ascii="宋体" w:hAnsi="宋体" w:eastAsia="宋体"/>
                <w:color w:val="auto"/>
                <w:sz w:val="21"/>
                <w:szCs w:val="21"/>
              </w:rPr>
            </w:pPr>
          </w:p>
        </w:tc>
        <w:tc>
          <w:tcPr>
            <w:tcW w:w="763" w:type="dxa"/>
            <w:vAlign w:val="center"/>
          </w:tcPr>
          <w:p>
            <w:pPr>
              <w:spacing w:line="288" w:lineRule="auto"/>
              <w:jc w:val="center"/>
              <w:rPr>
                <w:rFonts w:ascii="宋体" w:hAnsi="宋体" w:eastAsia="宋体"/>
                <w:color w:val="auto"/>
                <w:sz w:val="21"/>
                <w:szCs w:val="21"/>
              </w:rPr>
            </w:pPr>
          </w:p>
        </w:tc>
        <w:tc>
          <w:tcPr>
            <w:tcW w:w="708" w:type="dxa"/>
            <w:vAlign w:val="center"/>
          </w:tcPr>
          <w:p>
            <w:pPr>
              <w:spacing w:line="288" w:lineRule="auto"/>
              <w:jc w:val="center"/>
              <w:rPr>
                <w:rFonts w:ascii="宋体" w:hAnsi="宋体" w:eastAsia="宋体"/>
                <w:color w:val="auto"/>
                <w:sz w:val="21"/>
                <w:szCs w:val="21"/>
              </w:rPr>
            </w:pPr>
          </w:p>
        </w:tc>
        <w:tc>
          <w:tcPr>
            <w:tcW w:w="851" w:type="dxa"/>
            <w:vAlign w:val="center"/>
          </w:tcPr>
          <w:p>
            <w:pPr>
              <w:spacing w:line="288" w:lineRule="auto"/>
              <w:jc w:val="center"/>
              <w:rPr>
                <w:rFonts w:ascii="宋体" w:hAnsi="宋体" w:eastAsia="宋体"/>
                <w:color w:val="auto"/>
                <w:sz w:val="21"/>
                <w:szCs w:val="21"/>
              </w:rPr>
            </w:pPr>
          </w:p>
        </w:tc>
        <w:tc>
          <w:tcPr>
            <w:tcW w:w="850" w:type="dxa"/>
            <w:vAlign w:val="center"/>
          </w:tcPr>
          <w:p>
            <w:pPr>
              <w:spacing w:line="288" w:lineRule="auto"/>
              <w:jc w:val="center"/>
              <w:rPr>
                <w:rFonts w:ascii="宋体" w:hAnsi="宋体" w:eastAsia="宋体"/>
                <w:color w:val="auto"/>
                <w:sz w:val="21"/>
                <w:szCs w:val="21"/>
              </w:rPr>
            </w:pPr>
          </w:p>
        </w:tc>
        <w:tc>
          <w:tcPr>
            <w:tcW w:w="788" w:type="dxa"/>
            <w:vAlign w:val="center"/>
          </w:tcPr>
          <w:p>
            <w:pPr>
              <w:spacing w:line="288" w:lineRule="auto"/>
              <w:jc w:val="center"/>
              <w:rPr>
                <w:rFonts w:ascii="宋体" w:hAnsi="宋体" w:eastAsia="宋体"/>
                <w:color w:val="auto"/>
                <w:sz w:val="21"/>
                <w:szCs w:val="21"/>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rPr>
            </w:pPr>
          </w:p>
        </w:tc>
        <w:tc>
          <w:tcPr>
            <w:tcW w:w="822" w:type="dxa"/>
            <w:vAlign w:val="center"/>
          </w:tcPr>
          <w:p>
            <w:pPr>
              <w:spacing w:line="288" w:lineRule="auto"/>
              <w:jc w:val="center"/>
              <w:rPr>
                <w:rFonts w:ascii="宋体" w:hAnsi="宋体" w:eastAsia="宋体"/>
                <w:color w:val="auto"/>
                <w:sz w:val="21"/>
                <w:szCs w:val="21"/>
              </w:rPr>
            </w:pPr>
          </w:p>
        </w:tc>
        <w:tc>
          <w:tcPr>
            <w:tcW w:w="1392" w:type="dxa"/>
            <w:vAlign w:val="center"/>
          </w:tcPr>
          <w:p>
            <w:pPr>
              <w:spacing w:line="288" w:lineRule="auto"/>
              <w:jc w:val="center"/>
              <w:rPr>
                <w:rFonts w:ascii="宋体" w:hAnsi="宋体" w:eastAsia="宋体"/>
                <w:color w:val="auto"/>
                <w:sz w:val="21"/>
                <w:szCs w:val="21"/>
              </w:rPr>
            </w:pPr>
          </w:p>
        </w:tc>
        <w:tc>
          <w:tcPr>
            <w:tcW w:w="763" w:type="dxa"/>
            <w:vAlign w:val="center"/>
          </w:tcPr>
          <w:p>
            <w:pPr>
              <w:spacing w:line="288" w:lineRule="auto"/>
              <w:jc w:val="center"/>
              <w:rPr>
                <w:rFonts w:ascii="宋体" w:hAnsi="宋体" w:eastAsia="宋体"/>
                <w:color w:val="auto"/>
                <w:sz w:val="21"/>
                <w:szCs w:val="21"/>
              </w:rPr>
            </w:pPr>
          </w:p>
        </w:tc>
        <w:tc>
          <w:tcPr>
            <w:tcW w:w="708" w:type="dxa"/>
            <w:vAlign w:val="center"/>
          </w:tcPr>
          <w:p>
            <w:pPr>
              <w:spacing w:line="288" w:lineRule="auto"/>
              <w:jc w:val="center"/>
              <w:rPr>
                <w:rFonts w:ascii="宋体" w:hAnsi="宋体" w:eastAsia="宋体"/>
                <w:color w:val="auto"/>
                <w:sz w:val="21"/>
                <w:szCs w:val="21"/>
              </w:rPr>
            </w:pPr>
          </w:p>
        </w:tc>
        <w:tc>
          <w:tcPr>
            <w:tcW w:w="851" w:type="dxa"/>
            <w:vAlign w:val="center"/>
          </w:tcPr>
          <w:p>
            <w:pPr>
              <w:spacing w:line="288" w:lineRule="auto"/>
              <w:jc w:val="center"/>
              <w:rPr>
                <w:rFonts w:ascii="宋体" w:hAnsi="宋体" w:eastAsia="宋体"/>
                <w:color w:val="auto"/>
                <w:sz w:val="21"/>
                <w:szCs w:val="21"/>
              </w:rPr>
            </w:pPr>
          </w:p>
        </w:tc>
        <w:tc>
          <w:tcPr>
            <w:tcW w:w="850" w:type="dxa"/>
            <w:vAlign w:val="center"/>
          </w:tcPr>
          <w:p>
            <w:pPr>
              <w:spacing w:line="288" w:lineRule="auto"/>
              <w:jc w:val="center"/>
              <w:rPr>
                <w:rFonts w:ascii="宋体" w:hAnsi="宋体" w:eastAsia="宋体"/>
                <w:color w:val="auto"/>
                <w:sz w:val="21"/>
                <w:szCs w:val="21"/>
              </w:rPr>
            </w:pPr>
          </w:p>
        </w:tc>
        <w:tc>
          <w:tcPr>
            <w:tcW w:w="788" w:type="dxa"/>
            <w:vAlign w:val="center"/>
          </w:tcPr>
          <w:p>
            <w:pPr>
              <w:spacing w:line="288" w:lineRule="auto"/>
              <w:jc w:val="center"/>
              <w:rPr>
                <w:rFonts w:ascii="宋体" w:hAnsi="宋体" w:eastAsia="宋体"/>
                <w:color w:val="auto"/>
                <w:sz w:val="21"/>
                <w:szCs w:val="21"/>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rPr>
            </w:pPr>
          </w:p>
        </w:tc>
        <w:tc>
          <w:tcPr>
            <w:tcW w:w="822" w:type="dxa"/>
            <w:vAlign w:val="center"/>
          </w:tcPr>
          <w:p>
            <w:pPr>
              <w:spacing w:line="288" w:lineRule="auto"/>
              <w:jc w:val="center"/>
              <w:rPr>
                <w:rFonts w:ascii="宋体" w:hAnsi="宋体" w:eastAsia="宋体"/>
                <w:color w:val="auto"/>
                <w:sz w:val="21"/>
                <w:szCs w:val="21"/>
              </w:rPr>
            </w:pPr>
          </w:p>
        </w:tc>
        <w:tc>
          <w:tcPr>
            <w:tcW w:w="1392" w:type="dxa"/>
            <w:vAlign w:val="center"/>
          </w:tcPr>
          <w:p>
            <w:pPr>
              <w:spacing w:line="288" w:lineRule="auto"/>
              <w:jc w:val="center"/>
              <w:rPr>
                <w:rFonts w:ascii="宋体" w:hAnsi="宋体" w:eastAsia="宋体"/>
                <w:color w:val="auto"/>
                <w:sz w:val="21"/>
                <w:szCs w:val="21"/>
              </w:rPr>
            </w:pPr>
          </w:p>
        </w:tc>
        <w:tc>
          <w:tcPr>
            <w:tcW w:w="763" w:type="dxa"/>
            <w:vAlign w:val="center"/>
          </w:tcPr>
          <w:p>
            <w:pPr>
              <w:spacing w:line="288" w:lineRule="auto"/>
              <w:jc w:val="center"/>
              <w:rPr>
                <w:rFonts w:ascii="宋体" w:hAnsi="宋体" w:eastAsia="宋体"/>
                <w:color w:val="auto"/>
                <w:sz w:val="21"/>
                <w:szCs w:val="21"/>
              </w:rPr>
            </w:pPr>
          </w:p>
        </w:tc>
        <w:tc>
          <w:tcPr>
            <w:tcW w:w="708" w:type="dxa"/>
            <w:vAlign w:val="center"/>
          </w:tcPr>
          <w:p>
            <w:pPr>
              <w:spacing w:line="288" w:lineRule="auto"/>
              <w:jc w:val="center"/>
              <w:rPr>
                <w:rFonts w:ascii="宋体" w:hAnsi="宋体" w:eastAsia="宋体"/>
                <w:color w:val="auto"/>
                <w:sz w:val="21"/>
                <w:szCs w:val="21"/>
              </w:rPr>
            </w:pPr>
          </w:p>
        </w:tc>
        <w:tc>
          <w:tcPr>
            <w:tcW w:w="851" w:type="dxa"/>
            <w:vAlign w:val="center"/>
          </w:tcPr>
          <w:p>
            <w:pPr>
              <w:spacing w:line="288" w:lineRule="auto"/>
              <w:jc w:val="center"/>
              <w:rPr>
                <w:rFonts w:ascii="宋体" w:hAnsi="宋体" w:eastAsia="宋体"/>
                <w:color w:val="auto"/>
                <w:sz w:val="21"/>
                <w:szCs w:val="21"/>
              </w:rPr>
            </w:pPr>
          </w:p>
        </w:tc>
        <w:tc>
          <w:tcPr>
            <w:tcW w:w="850" w:type="dxa"/>
            <w:vAlign w:val="center"/>
          </w:tcPr>
          <w:p>
            <w:pPr>
              <w:spacing w:line="288" w:lineRule="auto"/>
              <w:jc w:val="center"/>
              <w:rPr>
                <w:rFonts w:ascii="宋体" w:hAnsi="宋体" w:eastAsia="宋体"/>
                <w:color w:val="auto"/>
                <w:sz w:val="21"/>
                <w:szCs w:val="21"/>
              </w:rPr>
            </w:pPr>
          </w:p>
        </w:tc>
        <w:tc>
          <w:tcPr>
            <w:tcW w:w="788" w:type="dxa"/>
            <w:vAlign w:val="center"/>
          </w:tcPr>
          <w:p>
            <w:pPr>
              <w:spacing w:line="288" w:lineRule="auto"/>
              <w:jc w:val="center"/>
              <w:rPr>
                <w:rFonts w:ascii="宋体" w:hAnsi="宋体" w:eastAsia="宋体"/>
                <w:color w:val="auto"/>
                <w:sz w:val="21"/>
                <w:szCs w:val="21"/>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rPr>
            </w:pPr>
          </w:p>
        </w:tc>
        <w:tc>
          <w:tcPr>
            <w:tcW w:w="822" w:type="dxa"/>
            <w:vAlign w:val="center"/>
          </w:tcPr>
          <w:p>
            <w:pPr>
              <w:spacing w:line="288" w:lineRule="auto"/>
              <w:jc w:val="center"/>
              <w:rPr>
                <w:rFonts w:ascii="宋体" w:hAnsi="宋体" w:eastAsia="宋体"/>
                <w:color w:val="auto"/>
                <w:sz w:val="21"/>
                <w:szCs w:val="21"/>
              </w:rPr>
            </w:pPr>
          </w:p>
        </w:tc>
        <w:tc>
          <w:tcPr>
            <w:tcW w:w="1392" w:type="dxa"/>
            <w:vAlign w:val="center"/>
          </w:tcPr>
          <w:p>
            <w:pPr>
              <w:spacing w:line="288" w:lineRule="auto"/>
              <w:jc w:val="center"/>
              <w:rPr>
                <w:rFonts w:ascii="宋体" w:hAnsi="宋体" w:eastAsia="宋体"/>
                <w:color w:val="auto"/>
                <w:sz w:val="21"/>
                <w:szCs w:val="21"/>
              </w:rPr>
            </w:pPr>
          </w:p>
        </w:tc>
        <w:tc>
          <w:tcPr>
            <w:tcW w:w="763" w:type="dxa"/>
            <w:vAlign w:val="center"/>
          </w:tcPr>
          <w:p>
            <w:pPr>
              <w:spacing w:line="288" w:lineRule="auto"/>
              <w:jc w:val="center"/>
              <w:rPr>
                <w:rFonts w:ascii="宋体" w:hAnsi="宋体" w:eastAsia="宋体"/>
                <w:color w:val="auto"/>
                <w:sz w:val="21"/>
                <w:szCs w:val="21"/>
              </w:rPr>
            </w:pPr>
          </w:p>
        </w:tc>
        <w:tc>
          <w:tcPr>
            <w:tcW w:w="708" w:type="dxa"/>
            <w:vAlign w:val="center"/>
          </w:tcPr>
          <w:p>
            <w:pPr>
              <w:spacing w:line="288" w:lineRule="auto"/>
              <w:jc w:val="center"/>
              <w:rPr>
                <w:rFonts w:ascii="宋体" w:hAnsi="宋体" w:eastAsia="宋体"/>
                <w:color w:val="auto"/>
                <w:sz w:val="21"/>
                <w:szCs w:val="21"/>
              </w:rPr>
            </w:pPr>
          </w:p>
        </w:tc>
        <w:tc>
          <w:tcPr>
            <w:tcW w:w="851" w:type="dxa"/>
            <w:vAlign w:val="center"/>
          </w:tcPr>
          <w:p>
            <w:pPr>
              <w:spacing w:line="288" w:lineRule="auto"/>
              <w:jc w:val="center"/>
              <w:rPr>
                <w:rFonts w:ascii="宋体" w:hAnsi="宋体" w:eastAsia="宋体"/>
                <w:color w:val="auto"/>
                <w:sz w:val="21"/>
                <w:szCs w:val="21"/>
              </w:rPr>
            </w:pPr>
          </w:p>
        </w:tc>
        <w:tc>
          <w:tcPr>
            <w:tcW w:w="850" w:type="dxa"/>
            <w:vAlign w:val="center"/>
          </w:tcPr>
          <w:p>
            <w:pPr>
              <w:spacing w:line="288" w:lineRule="auto"/>
              <w:jc w:val="center"/>
              <w:rPr>
                <w:rFonts w:ascii="宋体" w:hAnsi="宋体" w:eastAsia="宋体"/>
                <w:color w:val="auto"/>
                <w:sz w:val="21"/>
                <w:szCs w:val="21"/>
              </w:rPr>
            </w:pPr>
          </w:p>
        </w:tc>
        <w:tc>
          <w:tcPr>
            <w:tcW w:w="788" w:type="dxa"/>
            <w:vAlign w:val="center"/>
          </w:tcPr>
          <w:p>
            <w:pPr>
              <w:spacing w:line="288" w:lineRule="auto"/>
              <w:jc w:val="center"/>
              <w:rPr>
                <w:rFonts w:ascii="宋体" w:hAnsi="宋体" w:eastAsia="宋体"/>
                <w:color w:val="auto"/>
                <w:sz w:val="21"/>
                <w:szCs w:val="21"/>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rPr>
            </w:pPr>
          </w:p>
        </w:tc>
        <w:tc>
          <w:tcPr>
            <w:tcW w:w="822" w:type="dxa"/>
            <w:vAlign w:val="center"/>
          </w:tcPr>
          <w:p>
            <w:pPr>
              <w:spacing w:line="288" w:lineRule="auto"/>
              <w:jc w:val="center"/>
              <w:rPr>
                <w:rFonts w:ascii="宋体" w:hAnsi="宋体" w:eastAsia="宋体"/>
                <w:color w:val="auto"/>
                <w:sz w:val="21"/>
                <w:szCs w:val="21"/>
              </w:rPr>
            </w:pPr>
          </w:p>
        </w:tc>
        <w:tc>
          <w:tcPr>
            <w:tcW w:w="1392" w:type="dxa"/>
            <w:vAlign w:val="center"/>
          </w:tcPr>
          <w:p>
            <w:pPr>
              <w:spacing w:line="288" w:lineRule="auto"/>
              <w:jc w:val="center"/>
              <w:rPr>
                <w:rFonts w:ascii="宋体" w:hAnsi="宋体" w:eastAsia="宋体"/>
                <w:color w:val="auto"/>
                <w:sz w:val="21"/>
                <w:szCs w:val="21"/>
              </w:rPr>
            </w:pPr>
          </w:p>
        </w:tc>
        <w:tc>
          <w:tcPr>
            <w:tcW w:w="763" w:type="dxa"/>
            <w:vAlign w:val="center"/>
          </w:tcPr>
          <w:p>
            <w:pPr>
              <w:spacing w:line="288" w:lineRule="auto"/>
              <w:jc w:val="center"/>
              <w:rPr>
                <w:rFonts w:ascii="宋体" w:hAnsi="宋体" w:eastAsia="宋体"/>
                <w:color w:val="auto"/>
                <w:sz w:val="21"/>
                <w:szCs w:val="21"/>
              </w:rPr>
            </w:pPr>
          </w:p>
        </w:tc>
        <w:tc>
          <w:tcPr>
            <w:tcW w:w="708" w:type="dxa"/>
            <w:vAlign w:val="center"/>
          </w:tcPr>
          <w:p>
            <w:pPr>
              <w:spacing w:line="288" w:lineRule="auto"/>
              <w:jc w:val="center"/>
              <w:rPr>
                <w:rFonts w:ascii="宋体" w:hAnsi="宋体" w:eastAsia="宋体"/>
                <w:color w:val="auto"/>
                <w:sz w:val="21"/>
                <w:szCs w:val="21"/>
              </w:rPr>
            </w:pPr>
          </w:p>
        </w:tc>
        <w:tc>
          <w:tcPr>
            <w:tcW w:w="851" w:type="dxa"/>
            <w:vAlign w:val="center"/>
          </w:tcPr>
          <w:p>
            <w:pPr>
              <w:spacing w:line="288" w:lineRule="auto"/>
              <w:jc w:val="center"/>
              <w:rPr>
                <w:rFonts w:ascii="宋体" w:hAnsi="宋体" w:eastAsia="宋体"/>
                <w:color w:val="auto"/>
                <w:sz w:val="21"/>
                <w:szCs w:val="21"/>
              </w:rPr>
            </w:pPr>
          </w:p>
        </w:tc>
        <w:tc>
          <w:tcPr>
            <w:tcW w:w="850" w:type="dxa"/>
            <w:vAlign w:val="center"/>
          </w:tcPr>
          <w:p>
            <w:pPr>
              <w:spacing w:line="288" w:lineRule="auto"/>
              <w:jc w:val="center"/>
              <w:rPr>
                <w:rFonts w:ascii="宋体" w:hAnsi="宋体" w:eastAsia="宋体"/>
                <w:color w:val="auto"/>
                <w:sz w:val="21"/>
                <w:szCs w:val="21"/>
              </w:rPr>
            </w:pPr>
          </w:p>
        </w:tc>
        <w:tc>
          <w:tcPr>
            <w:tcW w:w="788" w:type="dxa"/>
            <w:vAlign w:val="center"/>
          </w:tcPr>
          <w:p>
            <w:pPr>
              <w:spacing w:line="288" w:lineRule="auto"/>
              <w:jc w:val="center"/>
              <w:rPr>
                <w:rFonts w:ascii="宋体" w:hAnsi="宋体" w:eastAsia="宋体"/>
                <w:color w:val="auto"/>
                <w:sz w:val="21"/>
                <w:szCs w:val="21"/>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rPr>
            </w:pPr>
          </w:p>
        </w:tc>
        <w:tc>
          <w:tcPr>
            <w:tcW w:w="822" w:type="dxa"/>
            <w:vAlign w:val="center"/>
          </w:tcPr>
          <w:p>
            <w:pPr>
              <w:spacing w:line="288" w:lineRule="auto"/>
              <w:jc w:val="center"/>
              <w:rPr>
                <w:rFonts w:ascii="宋体" w:hAnsi="宋体" w:eastAsia="宋体"/>
                <w:color w:val="auto"/>
                <w:sz w:val="21"/>
                <w:szCs w:val="21"/>
              </w:rPr>
            </w:pPr>
          </w:p>
        </w:tc>
        <w:tc>
          <w:tcPr>
            <w:tcW w:w="1392" w:type="dxa"/>
            <w:vAlign w:val="center"/>
          </w:tcPr>
          <w:p>
            <w:pPr>
              <w:spacing w:line="288" w:lineRule="auto"/>
              <w:jc w:val="center"/>
              <w:rPr>
                <w:rFonts w:ascii="宋体" w:hAnsi="宋体" w:eastAsia="宋体"/>
                <w:color w:val="auto"/>
                <w:sz w:val="21"/>
                <w:szCs w:val="21"/>
              </w:rPr>
            </w:pPr>
          </w:p>
        </w:tc>
        <w:tc>
          <w:tcPr>
            <w:tcW w:w="763" w:type="dxa"/>
            <w:vAlign w:val="center"/>
          </w:tcPr>
          <w:p>
            <w:pPr>
              <w:spacing w:line="288" w:lineRule="auto"/>
              <w:jc w:val="center"/>
              <w:rPr>
                <w:rFonts w:ascii="宋体" w:hAnsi="宋体" w:eastAsia="宋体"/>
                <w:color w:val="auto"/>
                <w:sz w:val="21"/>
                <w:szCs w:val="21"/>
              </w:rPr>
            </w:pPr>
          </w:p>
        </w:tc>
        <w:tc>
          <w:tcPr>
            <w:tcW w:w="708" w:type="dxa"/>
            <w:vAlign w:val="center"/>
          </w:tcPr>
          <w:p>
            <w:pPr>
              <w:spacing w:line="288" w:lineRule="auto"/>
              <w:jc w:val="center"/>
              <w:rPr>
                <w:rFonts w:ascii="宋体" w:hAnsi="宋体" w:eastAsia="宋体"/>
                <w:color w:val="auto"/>
                <w:sz w:val="21"/>
                <w:szCs w:val="21"/>
              </w:rPr>
            </w:pPr>
          </w:p>
        </w:tc>
        <w:tc>
          <w:tcPr>
            <w:tcW w:w="851" w:type="dxa"/>
            <w:vAlign w:val="center"/>
          </w:tcPr>
          <w:p>
            <w:pPr>
              <w:spacing w:line="288" w:lineRule="auto"/>
              <w:jc w:val="center"/>
              <w:rPr>
                <w:rFonts w:ascii="宋体" w:hAnsi="宋体" w:eastAsia="宋体"/>
                <w:color w:val="auto"/>
                <w:sz w:val="21"/>
                <w:szCs w:val="21"/>
              </w:rPr>
            </w:pPr>
          </w:p>
        </w:tc>
        <w:tc>
          <w:tcPr>
            <w:tcW w:w="850" w:type="dxa"/>
            <w:vAlign w:val="center"/>
          </w:tcPr>
          <w:p>
            <w:pPr>
              <w:spacing w:line="288" w:lineRule="auto"/>
              <w:jc w:val="center"/>
              <w:rPr>
                <w:rFonts w:ascii="宋体" w:hAnsi="宋体" w:eastAsia="宋体"/>
                <w:color w:val="auto"/>
                <w:sz w:val="21"/>
                <w:szCs w:val="21"/>
              </w:rPr>
            </w:pPr>
          </w:p>
        </w:tc>
        <w:tc>
          <w:tcPr>
            <w:tcW w:w="788" w:type="dxa"/>
            <w:vAlign w:val="center"/>
          </w:tcPr>
          <w:p>
            <w:pPr>
              <w:spacing w:line="288" w:lineRule="auto"/>
              <w:jc w:val="center"/>
              <w:rPr>
                <w:rFonts w:ascii="宋体" w:hAnsi="宋体" w:eastAsia="宋体"/>
                <w:color w:val="auto"/>
                <w:sz w:val="21"/>
                <w:szCs w:val="21"/>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rPr>
            </w:pPr>
          </w:p>
        </w:tc>
        <w:tc>
          <w:tcPr>
            <w:tcW w:w="822" w:type="dxa"/>
            <w:vAlign w:val="center"/>
          </w:tcPr>
          <w:p>
            <w:pPr>
              <w:spacing w:line="288" w:lineRule="auto"/>
              <w:jc w:val="center"/>
              <w:rPr>
                <w:rFonts w:ascii="宋体" w:hAnsi="宋体" w:eastAsia="宋体"/>
                <w:color w:val="auto"/>
                <w:sz w:val="21"/>
                <w:szCs w:val="21"/>
              </w:rPr>
            </w:pPr>
          </w:p>
        </w:tc>
        <w:tc>
          <w:tcPr>
            <w:tcW w:w="1392" w:type="dxa"/>
            <w:vAlign w:val="center"/>
          </w:tcPr>
          <w:p>
            <w:pPr>
              <w:spacing w:line="288" w:lineRule="auto"/>
              <w:jc w:val="center"/>
              <w:rPr>
                <w:rFonts w:ascii="宋体" w:hAnsi="宋体" w:eastAsia="宋体"/>
                <w:color w:val="auto"/>
                <w:sz w:val="21"/>
                <w:szCs w:val="21"/>
              </w:rPr>
            </w:pPr>
          </w:p>
        </w:tc>
        <w:tc>
          <w:tcPr>
            <w:tcW w:w="763" w:type="dxa"/>
            <w:vAlign w:val="center"/>
          </w:tcPr>
          <w:p>
            <w:pPr>
              <w:spacing w:line="288" w:lineRule="auto"/>
              <w:jc w:val="center"/>
              <w:rPr>
                <w:rFonts w:ascii="宋体" w:hAnsi="宋体" w:eastAsia="宋体"/>
                <w:color w:val="auto"/>
                <w:sz w:val="21"/>
                <w:szCs w:val="21"/>
              </w:rPr>
            </w:pPr>
          </w:p>
        </w:tc>
        <w:tc>
          <w:tcPr>
            <w:tcW w:w="708" w:type="dxa"/>
            <w:vAlign w:val="center"/>
          </w:tcPr>
          <w:p>
            <w:pPr>
              <w:spacing w:line="288" w:lineRule="auto"/>
              <w:jc w:val="center"/>
              <w:rPr>
                <w:rFonts w:ascii="宋体" w:hAnsi="宋体" w:eastAsia="宋体"/>
                <w:color w:val="auto"/>
                <w:sz w:val="21"/>
                <w:szCs w:val="21"/>
              </w:rPr>
            </w:pPr>
          </w:p>
        </w:tc>
        <w:tc>
          <w:tcPr>
            <w:tcW w:w="851" w:type="dxa"/>
            <w:vAlign w:val="center"/>
          </w:tcPr>
          <w:p>
            <w:pPr>
              <w:spacing w:line="288" w:lineRule="auto"/>
              <w:jc w:val="center"/>
              <w:rPr>
                <w:rFonts w:ascii="宋体" w:hAnsi="宋体" w:eastAsia="宋体"/>
                <w:color w:val="auto"/>
                <w:sz w:val="21"/>
                <w:szCs w:val="21"/>
              </w:rPr>
            </w:pPr>
          </w:p>
        </w:tc>
        <w:tc>
          <w:tcPr>
            <w:tcW w:w="850" w:type="dxa"/>
            <w:vAlign w:val="center"/>
          </w:tcPr>
          <w:p>
            <w:pPr>
              <w:spacing w:line="288" w:lineRule="auto"/>
              <w:jc w:val="center"/>
              <w:rPr>
                <w:rFonts w:ascii="宋体" w:hAnsi="宋体" w:eastAsia="宋体"/>
                <w:color w:val="auto"/>
                <w:sz w:val="21"/>
                <w:szCs w:val="21"/>
              </w:rPr>
            </w:pPr>
          </w:p>
        </w:tc>
        <w:tc>
          <w:tcPr>
            <w:tcW w:w="788" w:type="dxa"/>
            <w:vAlign w:val="center"/>
          </w:tcPr>
          <w:p>
            <w:pPr>
              <w:spacing w:line="288" w:lineRule="auto"/>
              <w:jc w:val="center"/>
              <w:rPr>
                <w:rFonts w:ascii="宋体" w:hAnsi="宋体" w:eastAsia="宋体"/>
                <w:color w:val="auto"/>
                <w:sz w:val="21"/>
                <w:szCs w:val="21"/>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rPr>
            </w:pPr>
          </w:p>
        </w:tc>
      </w:tr>
    </w:tbl>
    <w:p>
      <w:pPr>
        <w:ind w:firstLine="178" w:firstLineChars="85"/>
        <w:rPr>
          <w:rFonts w:ascii="宋体" w:hAnsi="宋体" w:eastAsia="宋体"/>
          <w:color w:val="auto"/>
          <w:sz w:val="21"/>
          <w:szCs w:val="21"/>
        </w:rPr>
      </w:pPr>
    </w:p>
    <w:p>
      <w:pPr>
        <w:ind w:firstLine="178" w:firstLineChars="85"/>
        <w:rPr>
          <w:rFonts w:ascii="宋体" w:hAnsi="宋体" w:eastAsia="宋体"/>
          <w:color w:val="auto"/>
          <w:sz w:val="21"/>
          <w:szCs w:val="21"/>
        </w:rPr>
      </w:pPr>
      <w:r>
        <w:rPr>
          <w:rFonts w:hint="eastAsia" w:ascii="宋体" w:hAnsi="宋体" w:eastAsia="宋体"/>
          <w:color w:val="auto"/>
          <w:sz w:val="21"/>
          <w:szCs w:val="21"/>
        </w:rPr>
        <w:t>附有关证明文件（复印件加盖公章）</w:t>
      </w:r>
    </w:p>
    <w:p>
      <w:pPr>
        <w:ind w:firstLine="178" w:firstLineChars="85"/>
        <w:rPr>
          <w:rFonts w:ascii="宋体" w:hAnsi="宋体" w:eastAsia="宋体"/>
          <w:color w:val="auto"/>
          <w:sz w:val="21"/>
          <w:szCs w:val="21"/>
        </w:rPr>
      </w:pPr>
      <w:r>
        <w:rPr>
          <w:rFonts w:hint="eastAsia" w:ascii="宋体" w:hAnsi="宋体" w:eastAsia="宋体"/>
          <w:color w:val="auto"/>
          <w:sz w:val="21"/>
          <w:szCs w:val="21"/>
        </w:rPr>
        <w:t>投标人代表签字：</w:t>
      </w:r>
    </w:p>
    <w:p>
      <w:pPr>
        <w:ind w:firstLine="178" w:firstLineChars="85"/>
        <w:rPr>
          <w:rFonts w:ascii="宋体" w:hAnsi="宋体" w:eastAsia="宋体"/>
          <w:color w:val="auto"/>
          <w:sz w:val="21"/>
          <w:szCs w:val="21"/>
        </w:rPr>
      </w:pPr>
      <w:r>
        <w:rPr>
          <w:rFonts w:hint="eastAsia" w:ascii="宋体" w:hAnsi="宋体" w:eastAsia="宋体"/>
          <w:color w:val="auto"/>
          <w:sz w:val="21"/>
          <w:szCs w:val="21"/>
        </w:rPr>
        <w:t>投标人盖章：</w:t>
      </w:r>
    </w:p>
    <w:p>
      <w:pPr>
        <w:rPr>
          <w:rFonts w:ascii="宋体" w:hAnsi="宋体" w:eastAsia="宋体"/>
          <w:color w:val="auto"/>
          <w:sz w:val="21"/>
          <w:szCs w:val="21"/>
        </w:rPr>
      </w:pPr>
      <w:r>
        <w:rPr>
          <w:rFonts w:hint="eastAsia" w:ascii="宋体" w:hAnsi="宋体" w:eastAsia="宋体"/>
          <w:color w:val="auto"/>
          <w:sz w:val="21"/>
          <w:szCs w:val="21"/>
        </w:rPr>
        <w:t>注：</w:t>
      </w:r>
    </w:p>
    <w:p>
      <w:pPr>
        <w:pStyle w:val="24"/>
        <w:numPr>
          <w:ilvl w:val="0"/>
          <w:numId w:val="15"/>
        </w:numPr>
        <w:ind w:firstLineChars="0"/>
        <w:rPr>
          <w:rFonts w:ascii="宋体" w:hAnsi="宋体" w:eastAsia="宋体"/>
          <w:color w:val="auto"/>
          <w:sz w:val="21"/>
          <w:szCs w:val="21"/>
        </w:rPr>
      </w:pPr>
      <w:r>
        <w:rPr>
          <w:rFonts w:hint="eastAsia" w:ascii="宋体" w:hAnsi="宋体" w:eastAsia="宋体"/>
          <w:color w:val="auto"/>
          <w:sz w:val="21"/>
          <w:szCs w:val="21"/>
        </w:rPr>
        <w:t>投标人可按项目的实际需要或招标文件的要求提供本表格。</w:t>
      </w:r>
    </w:p>
    <w:p>
      <w:pPr>
        <w:pStyle w:val="24"/>
        <w:numPr>
          <w:ilvl w:val="0"/>
          <w:numId w:val="15"/>
        </w:numPr>
        <w:ind w:firstLineChars="0"/>
        <w:rPr>
          <w:rFonts w:ascii="宋体" w:hAnsi="宋体" w:eastAsia="宋体" w:cs="Times New Roman"/>
          <w:color w:val="auto"/>
          <w:sz w:val="21"/>
          <w:szCs w:val="21"/>
        </w:rPr>
      </w:pPr>
      <w:r>
        <w:rPr>
          <w:rFonts w:hint="eastAsia" w:ascii="宋体" w:hAnsi="宋体" w:eastAsia="宋体"/>
          <w:color w:val="auto"/>
          <w:sz w:val="21"/>
          <w:szCs w:val="21"/>
        </w:rPr>
        <w:t>该表格为参考格式，投标人可按实际情况自行制订。</w:t>
      </w:r>
    </w:p>
    <w:p>
      <w:pPr>
        <w:pStyle w:val="24"/>
        <w:numPr>
          <w:ilvl w:val="0"/>
          <w:numId w:val="15"/>
        </w:numPr>
        <w:ind w:firstLineChars="0"/>
        <w:rPr>
          <w:rFonts w:ascii="宋体" w:hAnsi="宋体" w:eastAsia="宋体" w:cs="Times New Roman"/>
          <w:color w:val="auto"/>
          <w:sz w:val="21"/>
          <w:szCs w:val="21"/>
        </w:rPr>
      </w:pPr>
      <w:r>
        <w:rPr>
          <w:rFonts w:hint="eastAsia" w:ascii="宋体" w:hAnsi="宋体" w:eastAsia="宋体"/>
          <w:color w:val="auto"/>
          <w:sz w:val="21"/>
          <w:szCs w:val="21"/>
        </w:rPr>
        <w:t>如本项目不涉及此表内容，则无需提供此表。</w:t>
      </w:r>
      <w:r>
        <w:rPr>
          <w:rFonts w:hint="eastAsia" w:ascii="宋体" w:hAnsi="宋体" w:eastAsia="宋体"/>
          <w:color w:val="auto"/>
          <w:sz w:val="21"/>
          <w:szCs w:val="21"/>
        </w:rPr>
        <w:br w:type="page"/>
      </w:r>
    </w:p>
    <w:p>
      <w:pPr>
        <w:pStyle w:val="6"/>
        <w:widowControl w:val="0"/>
        <w:overflowPunct w:val="0"/>
        <w:spacing w:before="0" w:after="0" w:line="240" w:lineRule="auto"/>
        <w:rPr>
          <w:rFonts w:ascii="宋体" w:hAnsi="宋体" w:eastAsia="宋体"/>
          <w:color w:val="auto"/>
          <w:sz w:val="21"/>
          <w:szCs w:val="21"/>
        </w:rPr>
      </w:pPr>
      <w:bookmarkStart w:id="202" w:name="_Toc21598"/>
      <w:r>
        <w:rPr>
          <w:rFonts w:hint="eastAsia" w:ascii="宋体" w:hAnsi="宋体" w:eastAsia="宋体"/>
          <w:color w:val="auto"/>
          <w:sz w:val="21"/>
          <w:szCs w:val="21"/>
        </w:rPr>
        <w:t>附件16.投标货物说明一览表格式</w:t>
      </w:r>
      <w:bookmarkEnd w:id="202"/>
    </w:p>
    <w:p>
      <w:pPr>
        <w:jc w:val="center"/>
        <w:rPr>
          <w:rFonts w:ascii="黑体" w:eastAsia="黑体"/>
          <w:color w:val="auto"/>
          <w:sz w:val="28"/>
          <w:szCs w:val="28"/>
        </w:rPr>
      </w:pPr>
    </w:p>
    <w:p>
      <w:pPr>
        <w:jc w:val="center"/>
        <w:rPr>
          <w:rFonts w:ascii="黑体" w:eastAsia="黑体" w:cs="Times New Roman"/>
          <w:color w:val="auto"/>
          <w:sz w:val="28"/>
          <w:szCs w:val="28"/>
        </w:rPr>
      </w:pPr>
      <w:r>
        <w:rPr>
          <w:rFonts w:hint="eastAsia" w:ascii="黑体" w:eastAsia="黑体" w:cs="Times New Roman"/>
          <w:color w:val="auto"/>
          <w:sz w:val="28"/>
          <w:szCs w:val="28"/>
        </w:rPr>
        <w:t>投标货物说明一览表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775"/>
        <w:gridCol w:w="1618"/>
        <w:gridCol w:w="1217"/>
        <w:gridCol w:w="165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rPr>
            </w:pPr>
            <w:r>
              <w:rPr>
                <w:rFonts w:hint="eastAsia" w:ascii="宋体" w:hAnsi="宋体" w:eastAsia="宋体" w:cs="Times New Roman"/>
                <w:color w:val="auto"/>
                <w:sz w:val="21"/>
                <w:szCs w:val="21"/>
              </w:rPr>
              <w:t>序号</w:t>
            </w:r>
          </w:p>
        </w:tc>
        <w:tc>
          <w:tcPr>
            <w:tcW w:w="1775" w:type="dxa"/>
            <w:vAlign w:val="center"/>
          </w:tcPr>
          <w:p>
            <w:pPr>
              <w:spacing w:after="0"/>
              <w:jc w:val="center"/>
              <w:rPr>
                <w:rFonts w:ascii="宋体" w:hAnsi="宋体" w:eastAsia="宋体" w:cs="Times New Roman"/>
                <w:color w:val="auto"/>
                <w:sz w:val="21"/>
                <w:szCs w:val="21"/>
              </w:rPr>
            </w:pPr>
            <w:r>
              <w:rPr>
                <w:rFonts w:hint="eastAsia" w:ascii="宋体" w:hAnsi="宋体" w:eastAsia="宋体" w:cs="Times New Roman"/>
                <w:color w:val="auto"/>
                <w:sz w:val="21"/>
                <w:szCs w:val="21"/>
              </w:rPr>
              <w:t>货物名称</w:t>
            </w:r>
          </w:p>
        </w:tc>
        <w:tc>
          <w:tcPr>
            <w:tcW w:w="1618" w:type="dxa"/>
            <w:vAlign w:val="center"/>
          </w:tcPr>
          <w:p>
            <w:pPr>
              <w:spacing w:after="0"/>
              <w:jc w:val="center"/>
              <w:rPr>
                <w:rFonts w:ascii="宋体" w:hAnsi="宋体" w:eastAsia="宋体" w:cs="Times New Roman"/>
                <w:color w:val="auto"/>
                <w:sz w:val="21"/>
                <w:szCs w:val="21"/>
              </w:rPr>
            </w:pPr>
            <w:r>
              <w:rPr>
                <w:rFonts w:hint="eastAsia" w:ascii="宋体" w:hAnsi="宋体" w:eastAsia="宋体" w:cs="Times New Roman"/>
                <w:color w:val="auto"/>
                <w:sz w:val="21"/>
                <w:szCs w:val="21"/>
              </w:rPr>
              <w:t>规格型号</w:t>
            </w:r>
          </w:p>
        </w:tc>
        <w:tc>
          <w:tcPr>
            <w:tcW w:w="1217" w:type="dxa"/>
            <w:vAlign w:val="center"/>
          </w:tcPr>
          <w:p>
            <w:pPr>
              <w:spacing w:after="0"/>
              <w:jc w:val="center"/>
              <w:rPr>
                <w:rFonts w:ascii="宋体" w:hAnsi="宋体" w:eastAsia="宋体" w:cs="Times New Roman"/>
                <w:color w:val="auto"/>
                <w:sz w:val="21"/>
                <w:szCs w:val="21"/>
              </w:rPr>
            </w:pPr>
            <w:r>
              <w:rPr>
                <w:rFonts w:hint="eastAsia" w:ascii="宋体" w:hAnsi="宋体" w:eastAsia="宋体" w:cs="Times New Roman"/>
                <w:color w:val="auto"/>
                <w:sz w:val="21"/>
                <w:szCs w:val="21"/>
              </w:rPr>
              <w:t>数量</w:t>
            </w:r>
          </w:p>
        </w:tc>
        <w:tc>
          <w:tcPr>
            <w:tcW w:w="1656" w:type="dxa"/>
            <w:vAlign w:val="center"/>
          </w:tcPr>
          <w:p>
            <w:pPr>
              <w:spacing w:after="0"/>
              <w:jc w:val="center"/>
              <w:rPr>
                <w:rFonts w:ascii="宋体" w:hAnsi="宋体" w:eastAsia="宋体" w:cs="Times New Roman"/>
                <w:color w:val="auto"/>
                <w:sz w:val="21"/>
                <w:szCs w:val="21"/>
              </w:rPr>
            </w:pPr>
            <w:r>
              <w:rPr>
                <w:rFonts w:hint="eastAsia" w:ascii="宋体" w:hAnsi="宋体" w:eastAsia="宋体" w:cs="Times New Roman"/>
                <w:color w:val="auto"/>
                <w:sz w:val="21"/>
                <w:szCs w:val="21"/>
              </w:rPr>
              <w:t>单价</w:t>
            </w:r>
          </w:p>
        </w:tc>
        <w:tc>
          <w:tcPr>
            <w:tcW w:w="1305" w:type="dxa"/>
            <w:vAlign w:val="center"/>
          </w:tcPr>
          <w:p>
            <w:pPr>
              <w:spacing w:after="0"/>
              <w:jc w:val="center"/>
              <w:rPr>
                <w:rFonts w:ascii="宋体" w:hAnsi="宋体" w:eastAsia="宋体" w:cs="Times New Roman"/>
                <w:color w:val="auto"/>
                <w:sz w:val="21"/>
                <w:szCs w:val="21"/>
              </w:rPr>
            </w:pPr>
            <w:r>
              <w:rPr>
                <w:rFonts w:hint="eastAsia" w:ascii="宋体" w:hAnsi="宋体" w:eastAsia="宋体"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rPr>
            </w:pPr>
          </w:p>
        </w:tc>
        <w:tc>
          <w:tcPr>
            <w:tcW w:w="1775" w:type="dxa"/>
            <w:vAlign w:val="center"/>
          </w:tcPr>
          <w:p>
            <w:pPr>
              <w:spacing w:after="0"/>
              <w:jc w:val="center"/>
              <w:rPr>
                <w:rFonts w:ascii="宋体" w:hAnsi="宋体" w:eastAsia="宋体" w:cs="Times New Roman"/>
                <w:color w:val="auto"/>
                <w:sz w:val="21"/>
                <w:szCs w:val="21"/>
              </w:rPr>
            </w:pPr>
          </w:p>
        </w:tc>
        <w:tc>
          <w:tcPr>
            <w:tcW w:w="1618" w:type="dxa"/>
            <w:vAlign w:val="center"/>
          </w:tcPr>
          <w:p>
            <w:pPr>
              <w:spacing w:after="0"/>
              <w:jc w:val="center"/>
              <w:rPr>
                <w:rFonts w:ascii="宋体" w:hAnsi="宋体" w:eastAsia="宋体" w:cs="Times New Roman"/>
                <w:color w:val="auto"/>
                <w:sz w:val="21"/>
                <w:szCs w:val="21"/>
              </w:rPr>
            </w:pPr>
          </w:p>
        </w:tc>
        <w:tc>
          <w:tcPr>
            <w:tcW w:w="1217" w:type="dxa"/>
            <w:vAlign w:val="center"/>
          </w:tcPr>
          <w:p>
            <w:pPr>
              <w:spacing w:after="0"/>
              <w:jc w:val="center"/>
              <w:rPr>
                <w:rFonts w:ascii="宋体" w:hAnsi="宋体" w:eastAsia="宋体" w:cs="Times New Roman"/>
                <w:color w:val="auto"/>
                <w:sz w:val="21"/>
                <w:szCs w:val="21"/>
              </w:rPr>
            </w:pPr>
          </w:p>
        </w:tc>
        <w:tc>
          <w:tcPr>
            <w:tcW w:w="1656" w:type="dxa"/>
            <w:vAlign w:val="center"/>
          </w:tcPr>
          <w:p>
            <w:pPr>
              <w:spacing w:after="0"/>
              <w:jc w:val="center"/>
              <w:rPr>
                <w:rFonts w:ascii="宋体" w:hAnsi="宋体" w:eastAsia="宋体" w:cs="Times New Roman"/>
                <w:color w:val="auto"/>
                <w:sz w:val="21"/>
                <w:szCs w:val="21"/>
              </w:rPr>
            </w:pPr>
          </w:p>
        </w:tc>
        <w:tc>
          <w:tcPr>
            <w:tcW w:w="1305" w:type="dxa"/>
            <w:vAlign w:val="center"/>
          </w:tcPr>
          <w:p>
            <w:pPr>
              <w:spacing w:after="0"/>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rPr>
            </w:pPr>
          </w:p>
        </w:tc>
        <w:tc>
          <w:tcPr>
            <w:tcW w:w="1775" w:type="dxa"/>
            <w:vAlign w:val="center"/>
          </w:tcPr>
          <w:p>
            <w:pPr>
              <w:spacing w:after="0"/>
              <w:jc w:val="center"/>
              <w:rPr>
                <w:rFonts w:ascii="宋体" w:hAnsi="宋体" w:eastAsia="宋体" w:cs="Times New Roman"/>
                <w:color w:val="auto"/>
                <w:sz w:val="21"/>
                <w:szCs w:val="21"/>
              </w:rPr>
            </w:pPr>
          </w:p>
        </w:tc>
        <w:tc>
          <w:tcPr>
            <w:tcW w:w="1618" w:type="dxa"/>
            <w:vAlign w:val="center"/>
          </w:tcPr>
          <w:p>
            <w:pPr>
              <w:spacing w:after="0"/>
              <w:jc w:val="center"/>
              <w:rPr>
                <w:rFonts w:ascii="宋体" w:hAnsi="宋体" w:eastAsia="宋体" w:cs="Times New Roman"/>
                <w:color w:val="auto"/>
                <w:sz w:val="21"/>
                <w:szCs w:val="21"/>
              </w:rPr>
            </w:pPr>
          </w:p>
        </w:tc>
        <w:tc>
          <w:tcPr>
            <w:tcW w:w="1217" w:type="dxa"/>
            <w:vAlign w:val="center"/>
          </w:tcPr>
          <w:p>
            <w:pPr>
              <w:spacing w:after="0"/>
              <w:jc w:val="center"/>
              <w:rPr>
                <w:rFonts w:ascii="宋体" w:hAnsi="宋体" w:eastAsia="宋体" w:cs="Times New Roman"/>
                <w:color w:val="auto"/>
                <w:sz w:val="21"/>
                <w:szCs w:val="21"/>
              </w:rPr>
            </w:pPr>
          </w:p>
        </w:tc>
        <w:tc>
          <w:tcPr>
            <w:tcW w:w="1656" w:type="dxa"/>
            <w:vAlign w:val="center"/>
          </w:tcPr>
          <w:p>
            <w:pPr>
              <w:spacing w:after="0"/>
              <w:jc w:val="center"/>
              <w:rPr>
                <w:rFonts w:ascii="宋体" w:hAnsi="宋体" w:eastAsia="宋体" w:cs="Times New Roman"/>
                <w:color w:val="auto"/>
                <w:sz w:val="21"/>
                <w:szCs w:val="21"/>
              </w:rPr>
            </w:pPr>
          </w:p>
        </w:tc>
        <w:tc>
          <w:tcPr>
            <w:tcW w:w="1305" w:type="dxa"/>
            <w:vAlign w:val="center"/>
          </w:tcPr>
          <w:p>
            <w:pPr>
              <w:spacing w:after="0"/>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rPr>
            </w:pPr>
          </w:p>
        </w:tc>
        <w:tc>
          <w:tcPr>
            <w:tcW w:w="1775" w:type="dxa"/>
            <w:vAlign w:val="center"/>
          </w:tcPr>
          <w:p>
            <w:pPr>
              <w:spacing w:after="0"/>
              <w:jc w:val="center"/>
              <w:rPr>
                <w:rFonts w:ascii="宋体" w:hAnsi="宋体" w:eastAsia="宋体" w:cs="Times New Roman"/>
                <w:color w:val="auto"/>
                <w:sz w:val="21"/>
                <w:szCs w:val="21"/>
              </w:rPr>
            </w:pPr>
          </w:p>
        </w:tc>
        <w:tc>
          <w:tcPr>
            <w:tcW w:w="1618" w:type="dxa"/>
            <w:vAlign w:val="center"/>
          </w:tcPr>
          <w:p>
            <w:pPr>
              <w:spacing w:after="0"/>
              <w:jc w:val="center"/>
              <w:rPr>
                <w:rFonts w:ascii="宋体" w:hAnsi="宋体" w:eastAsia="宋体" w:cs="Times New Roman"/>
                <w:color w:val="auto"/>
                <w:sz w:val="21"/>
                <w:szCs w:val="21"/>
              </w:rPr>
            </w:pPr>
          </w:p>
        </w:tc>
        <w:tc>
          <w:tcPr>
            <w:tcW w:w="1217" w:type="dxa"/>
            <w:vAlign w:val="center"/>
          </w:tcPr>
          <w:p>
            <w:pPr>
              <w:spacing w:after="0"/>
              <w:jc w:val="center"/>
              <w:rPr>
                <w:rFonts w:ascii="宋体" w:hAnsi="宋体" w:eastAsia="宋体" w:cs="Times New Roman"/>
                <w:color w:val="auto"/>
                <w:sz w:val="21"/>
                <w:szCs w:val="21"/>
              </w:rPr>
            </w:pPr>
          </w:p>
        </w:tc>
        <w:tc>
          <w:tcPr>
            <w:tcW w:w="1656" w:type="dxa"/>
            <w:vAlign w:val="center"/>
          </w:tcPr>
          <w:p>
            <w:pPr>
              <w:spacing w:after="0"/>
              <w:jc w:val="center"/>
              <w:rPr>
                <w:rFonts w:ascii="宋体" w:hAnsi="宋体" w:eastAsia="宋体" w:cs="Times New Roman"/>
                <w:color w:val="auto"/>
                <w:sz w:val="21"/>
                <w:szCs w:val="21"/>
              </w:rPr>
            </w:pPr>
          </w:p>
        </w:tc>
        <w:tc>
          <w:tcPr>
            <w:tcW w:w="1305" w:type="dxa"/>
            <w:vAlign w:val="center"/>
          </w:tcPr>
          <w:p>
            <w:pPr>
              <w:spacing w:after="0"/>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rPr>
            </w:pPr>
          </w:p>
        </w:tc>
        <w:tc>
          <w:tcPr>
            <w:tcW w:w="1775" w:type="dxa"/>
            <w:vAlign w:val="center"/>
          </w:tcPr>
          <w:p>
            <w:pPr>
              <w:spacing w:after="0"/>
              <w:jc w:val="center"/>
              <w:rPr>
                <w:rFonts w:ascii="宋体" w:hAnsi="宋体" w:eastAsia="宋体" w:cs="Times New Roman"/>
                <w:color w:val="auto"/>
                <w:sz w:val="21"/>
                <w:szCs w:val="21"/>
              </w:rPr>
            </w:pPr>
          </w:p>
        </w:tc>
        <w:tc>
          <w:tcPr>
            <w:tcW w:w="1618" w:type="dxa"/>
            <w:vAlign w:val="center"/>
          </w:tcPr>
          <w:p>
            <w:pPr>
              <w:spacing w:after="0"/>
              <w:jc w:val="center"/>
              <w:rPr>
                <w:rFonts w:ascii="宋体" w:hAnsi="宋体" w:eastAsia="宋体" w:cs="Times New Roman"/>
                <w:color w:val="auto"/>
                <w:sz w:val="21"/>
                <w:szCs w:val="21"/>
              </w:rPr>
            </w:pPr>
          </w:p>
        </w:tc>
        <w:tc>
          <w:tcPr>
            <w:tcW w:w="1217" w:type="dxa"/>
            <w:vAlign w:val="center"/>
          </w:tcPr>
          <w:p>
            <w:pPr>
              <w:spacing w:after="0"/>
              <w:jc w:val="center"/>
              <w:rPr>
                <w:rFonts w:ascii="宋体" w:hAnsi="宋体" w:eastAsia="宋体" w:cs="Times New Roman"/>
                <w:color w:val="auto"/>
                <w:sz w:val="21"/>
                <w:szCs w:val="21"/>
              </w:rPr>
            </w:pPr>
          </w:p>
        </w:tc>
        <w:tc>
          <w:tcPr>
            <w:tcW w:w="1656" w:type="dxa"/>
            <w:vAlign w:val="center"/>
          </w:tcPr>
          <w:p>
            <w:pPr>
              <w:spacing w:after="0"/>
              <w:jc w:val="center"/>
              <w:rPr>
                <w:rFonts w:ascii="宋体" w:hAnsi="宋体" w:eastAsia="宋体" w:cs="Times New Roman"/>
                <w:color w:val="auto"/>
                <w:sz w:val="21"/>
                <w:szCs w:val="21"/>
              </w:rPr>
            </w:pPr>
          </w:p>
        </w:tc>
        <w:tc>
          <w:tcPr>
            <w:tcW w:w="1305" w:type="dxa"/>
            <w:vAlign w:val="center"/>
          </w:tcPr>
          <w:p>
            <w:pPr>
              <w:spacing w:after="0"/>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rPr>
            </w:pPr>
          </w:p>
        </w:tc>
        <w:tc>
          <w:tcPr>
            <w:tcW w:w="1775" w:type="dxa"/>
            <w:vAlign w:val="center"/>
          </w:tcPr>
          <w:p>
            <w:pPr>
              <w:spacing w:after="0"/>
              <w:jc w:val="center"/>
              <w:rPr>
                <w:rFonts w:ascii="宋体" w:hAnsi="宋体" w:eastAsia="宋体" w:cs="Times New Roman"/>
                <w:color w:val="auto"/>
                <w:sz w:val="21"/>
                <w:szCs w:val="21"/>
              </w:rPr>
            </w:pPr>
          </w:p>
        </w:tc>
        <w:tc>
          <w:tcPr>
            <w:tcW w:w="1618" w:type="dxa"/>
            <w:vAlign w:val="center"/>
          </w:tcPr>
          <w:p>
            <w:pPr>
              <w:spacing w:after="0"/>
              <w:jc w:val="center"/>
              <w:rPr>
                <w:rFonts w:ascii="宋体" w:hAnsi="宋体" w:eastAsia="宋体" w:cs="Times New Roman"/>
                <w:color w:val="auto"/>
                <w:sz w:val="21"/>
                <w:szCs w:val="21"/>
              </w:rPr>
            </w:pPr>
          </w:p>
        </w:tc>
        <w:tc>
          <w:tcPr>
            <w:tcW w:w="1217" w:type="dxa"/>
            <w:vAlign w:val="center"/>
          </w:tcPr>
          <w:p>
            <w:pPr>
              <w:spacing w:after="0"/>
              <w:jc w:val="center"/>
              <w:rPr>
                <w:rFonts w:ascii="宋体" w:hAnsi="宋体" w:eastAsia="宋体" w:cs="Times New Roman"/>
                <w:color w:val="auto"/>
                <w:sz w:val="21"/>
                <w:szCs w:val="21"/>
              </w:rPr>
            </w:pPr>
          </w:p>
        </w:tc>
        <w:tc>
          <w:tcPr>
            <w:tcW w:w="1656" w:type="dxa"/>
            <w:vAlign w:val="center"/>
          </w:tcPr>
          <w:p>
            <w:pPr>
              <w:spacing w:after="0"/>
              <w:jc w:val="center"/>
              <w:rPr>
                <w:rFonts w:ascii="宋体" w:hAnsi="宋体" w:eastAsia="宋体" w:cs="Times New Roman"/>
                <w:color w:val="auto"/>
                <w:sz w:val="21"/>
                <w:szCs w:val="21"/>
              </w:rPr>
            </w:pPr>
          </w:p>
        </w:tc>
        <w:tc>
          <w:tcPr>
            <w:tcW w:w="1305" w:type="dxa"/>
            <w:vAlign w:val="center"/>
          </w:tcPr>
          <w:p>
            <w:pPr>
              <w:spacing w:after="0"/>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rPr>
            </w:pPr>
          </w:p>
        </w:tc>
        <w:tc>
          <w:tcPr>
            <w:tcW w:w="1775" w:type="dxa"/>
            <w:vAlign w:val="center"/>
          </w:tcPr>
          <w:p>
            <w:pPr>
              <w:spacing w:after="0"/>
              <w:jc w:val="center"/>
              <w:rPr>
                <w:rFonts w:ascii="宋体" w:hAnsi="宋体" w:eastAsia="宋体" w:cs="Times New Roman"/>
                <w:color w:val="auto"/>
                <w:sz w:val="21"/>
                <w:szCs w:val="21"/>
              </w:rPr>
            </w:pPr>
          </w:p>
        </w:tc>
        <w:tc>
          <w:tcPr>
            <w:tcW w:w="1618" w:type="dxa"/>
            <w:vAlign w:val="center"/>
          </w:tcPr>
          <w:p>
            <w:pPr>
              <w:spacing w:after="0"/>
              <w:jc w:val="center"/>
              <w:rPr>
                <w:rFonts w:ascii="宋体" w:hAnsi="宋体" w:eastAsia="宋体" w:cs="Times New Roman"/>
                <w:color w:val="auto"/>
                <w:sz w:val="21"/>
                <w:szCs w:val="21"/>
              </w:rPr>
            </w:pPr>
          </w:p>
        </w:tc>
        <w:tc>
          <w:tcPr>
            <w:tcW w:w="1217" w:type="dxa"/>
            <w:vAlign w:val="center"/>
          </w:tcPr>
          <w:p>
            <w:pPr>
              <w:spacing w:after="0"/>
              <w:jc w:val="center"/>
              <w:rPr>
                <w:rFonts w:ascii="宋体" w:hAnsi="宋体" w:eastAsia="宋体" w:cs="Times New Roman"/>
                <w:color w:val="auto"/>
                <w:sz w:val="21"/>
                <w:szCs w:val="21"/>
              </w:rPr>
            </w:pPr>
          </w:p>
        </w:tc>
        <w:tc>
          <w:tcPr>
            <w:tcW w:w="1656" w:type="dxa"/>
            <w:vAlign w:val="center"/>
          </w:tcPr>
          <w:p>
            <w:pPr>
              <w:spacing w:after="0"/>
              <w:jc w:val="center"/>
              <w:rPr>
                <w:rFonts w:ascii="宋体" w:hAnsi="宋体" w:eastAsia="宋体" w:cs="Times New Roman"/>
                <w:color w:val="auto"/>
                <w:sz w:val="21"/>
                <w:szCs w:val="21"/>
              </w:rPr>
            </w:pPr>
          </w:p>
        </w:tc>
        <w:tc>
          <w:tcPr>
            <w:tcW w:w="1305" w:type="dxa"/>
            <w:vAlign w:val="center"/>
          </w:tcPr>
          <w:p>
            <w:pPr>
              <w:spacing w:after="0"/>
              <w:jc w:val="center"/>
              <w:rPr>
                <w:rFonts w:ascii="宋体" w:hAnsi="宋体" w:eastAsia="宋体" w:cs="Times New Roman"/>
                <w:color w:val="auto"/>
                <w:sz w:val="21"/>
                <w:szCs w:val="21"/>
              </w:rPr>
            </w:pPr>
          </w:p>
        </w:tc>
      </w:tr>
    </w:tbl>
    <w:p>
      <w:pPr>
        <w:spacing w:after="0"/>
        <w:rPr>
          <w:rFonts w:ascii="宋体" w:hAnsi="宋体" w:eastAsia="宋体" w:cs="Times New Roman"/>
          <w:color w:val="auto"/>
          <w:sz w:val="21"/>
          <w:szCs w:val="21"/>
        </w:rPr>
      </w:pPr>
    </w:p>
    <w:p>
      <w:pPr>
        <w:rPr>
          <w:rFonts w:ascii="宋体" w:hAnsi="宋体" w:eastAsia="宋体" w:cs="Times New Roman"/>
          <w:color w:val="auto"/>
          <w:sz w:val="21"/>
          <w:szCs w:val="21"/>
        </w:rPr>
      </w:pPr>
      <w:r>
        <w:rPr>
          <w:rFonts w:hint="eastAsia" w:ascii="宋体" w:hAnsi="宋体" w:eastAsia="宋体" w:cs="Times New Roman"/>
          <w:color w:val="auto"/>
          <w:sz w:val="21"/>
          <w:szCs w:val="21"/>
        </w:rPr>
        <w:t>投标人代表签字：</w:t>
      </w:r>
    </w:p>
    <w:p>
      <w:pPr>
        <w:rPr>
          <w:rFonts w:ascii="宋体" w:hAnsi="宋体" w:eastAsia="宋体" w:cs="Times New Roman"/>
          <w:color w:val="auto"/>
          <w:sz w:val="21"/>
          <w:szCs w:val="21"/>
        </w:rPr>
      </w:pPr>
      <w:r>
        <w:rPr>
          <w:rFonts w:hint="eastAsia" w:ascii="宋体" w:hAnsi="宋体" w:eastAsia="宋体" w:cs="Times New Roman"/>
          <w:color w:val="auto"/>
          <w:sz w:val="21"/>
          <w:szCs w:val="21"/>
        </w:rPr>
        <w:t>投标人盖章：</w:t>
      </w:r>
    </w:p>
    <w:p>
      <w:pPr>
        <w:rPr>
          <w:rFonts w:ascii="宋体" w:hAnsi="宋体" w:eastAsia="宋体" w:cs="Times New Roman"/>
          <w:color w:val="auto"/>
          <w:sz w:val="21"/>
          <w:szCs w:val="21"/>
        </w:rPr>
      </w:pPr>
    </w:p>
    <w:p>
      <w:pPr>
        <w:rPr>
          <w:rFonts w:ascii="宋体" w:hAnsi="宋体" w:eastAsia="宋体" w:cs="Times New Roman"/>
          <w:color w:val="auto"/>
          <w:sz w:val="21"/>
          <w:szCs w:val="21"/>
        </w:rPr>
      </w:pPr>
      <w:r>
        <w:rPr>
          <w:rFonts w:hint="eastAsia" w:ascii="宋体" w:hAnsi="宋体" w:eastAsia="宋体" w:cs="Times New Roman"/>
          <w:color w:val="auto"/>
          <w:sz w:val="21"/>
          <w:szCs w:val="21"/>
        </w:rPr>
        <w:t>注：</w:t>
      </w:r>
    </w:p>
    <w:p>
      <w:pPr>
        <w:pStyle w:val="24"/>
        <w:ind w:firstLine="0" w:firstLineChars="0"/>
        <w:rPr>
          <w:rFonts w:ascii="宋体" w:hAnsi="宋体" w:eastAsia="宋体"/>
          <w:color w:val="auto"/>
          <w:sz w:val="21"/>
          <w:szCs w:val="21"/>
        </w:rPr>
      </w:pPr>
      <w:r>
        <w:rPr>
          <w:rFonts w:hint="eastAsia" w:ascii="宋体" w:hAnsi="宋体" w:eastAsia="宋体"/>
          <w:color w:val="auto"/>
          <w:sz w:val="21"/>
          <w:szCs w:val="21"/>
        </w:rPr>
        <w:t>1、投标人可按项目的实际需要提供本表格。</w:t>
      </w:r>
    </w:p>
    <w:p>
      <w:pPr>
        <w:pStyle w:val="24"/>
        <w:ind w:firstLine="0" w:firstLineChars="0"/>
        <w:rPr>
          <w:rFonts w:ascii="宋体" w:hAnsi="宋体" w:eastAsia="宋体"/>
          <w:color w:val="auto"/>
          <w:sz w:val="21"/>
          <w:szCs w:val="21"/>
        </w:rPr>
      </w:pPr>
      <w:r>
        <w:rPr>
          <w:rFonts w:hint="eastAsia" w:ascii="宋体" w:hAnsi="宋体" w:eastAsia="宋体"/>
          <w:color w:val="auto"/>
          <w:sz w:val="21"/>
          <w:szCs w:val="21"/>
        </w:rPr>
        <w:t>2、该表格为参考格式，投标人可按实际情况自行制订。</w:t>
      </w:r>
    </w:p>
    <w:p>
      <w:pPr>
        <w:pStyle w:val="24"/>
        <w:ind w:firstLine="0" w:firstLineChars="0"/>
        <w:rPr>
          <w:rFonts w:ascii="宋体" w:hAnsi="宋体" w:eastAsia="宋体"/>
          <w:color w:val="auto"/>
          <w:sz w:val="21"/>
          <w:szCs w:val="21"/>
        </w:rPr>
      </w:pPr>
      <w:r>
        <w:rPr>
          <w:rFonts w:hint="eastAsia" w:ascii="宋体" w:hAnsi="宋体" w:eastAsia="宋体"/>
          <w:color w:val="auto"/>
          <w:sz w:val="21"/>
          <w:szCs w:val="21"/>
        </w:rPr>
        <w:t>3、如本项目不涉及此表内容，则无需提供此表。</w:t>
      </w:r>
      <w:r>
        <w:rPr>
          <w:rFonts w:hint="eastAsia" w:ascii="宋体" w:hAnsi="宋体" w:eastAsia="宋体"/>
          <w:color w:val="auto"/>
          <w:sz w:val="21"/>
          <w:szCs w:val="21"/>
        </w:rPr>
        <w:br w:type="page"/>
      </w:r>
    </w:p>
    <w:p>
      <w:pPr>
        <w:pStyle w:val="6"/>
        <w:widowControl w:val="0"/>
        <w:overflowPunct w:val="0"/>
        <w:spacing w:before="0" w:after="0" w:line="240" w:lineRule="auto"/>
        <w:rPr>
          <w:rFonts w:ascii="楷体_GB2312" w:eastAsia="楷体_GB2312"/>
          <w:color w:val="auto"/>
          <w:sz w:val="24"/>
        </w:rPr>
      </w:pPr>
      <w:bookmarkStart w:id="203" w:name="_Toc10094"/>
      <w:r>
        <w:rPr>
          <w:rFonts w:hint="eastAsia" w:ascii="宋体" w:hAnsi="宋体" w:eastAsia="宋体"/>
          <w:color w:val="auto"/>
          <w:sz w:val="21"/>
          <w:szCs w:val="21"/>
        </w:rPr>
        <w:t>附件17.在经营活动中没有重大违法记录的书面声明格式</w:t>
      </w:r>
      <w:bookmarkEnd w:id="203"/>
    </w:p>
    <w:p>
      <w:pPr>
        <w:rPr>
          <w:color w:val="auto"/>
        </w:rPr>
      </w:pPr>
    </w:p>
    <w:p>
      <w:pPr>
        <w:jc w:val="center"/>
        <w:rPr>
          <w:rFonts w:ascii="黑体" w:eastAsia="黑体"/>
          <w:color w:val="auto"/>
          <w:sz w:val="28"/>
          <w:szCs w:val="28"/>
        </w:rPr>
      </w:pPr>
      <w:r>
        <w:rPr>
          <w:rFonts w:hint="eastAsia" w:ascii="黑体" w:eastAsia="黑体"/>
          <w:color w:val="auto"/>
          <w:sz w:val="28"/>
          <w:szCs w:val="28"/>
        </w:rPr>
        <w:t>投标人在参与政府采购活动前三年未有重大违法记录、没有不良信用记录的声明函</w:t>
      </w:r>
    </w:p>
    <w:p>
      <w:pPr>
        <w:spacing w:after="0" w:line="360" w:lineRule="auto"/>
        <w:ind w:firstLine="420" w:firstLineChars="200"/>
        <w:rPr>
          <w:rFonts w:ascii="宋体" w:hAnsi="宋体" w:eastAsia="宋体" w:cs="宋体"/>
          <w:color w:val="auto"/>
          <w:sz w:val="21"/>
          <w:szCs w:val="21"/>
        </w:rPr>
      </w:pP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广东三方诚信招标有限公司东莞分公司：</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我公司郑重承诺：在参加“</w:t>
      </w:r>
      <w:r>
        <w:rPr>
          <w:rFonts w:hint="eastAsia" w:ascii="宋体" w:hAnsi="宋体" w:eastAsia="宋体" w:cs="宋体"/>
          <w:color w:val="auto"/>
          <w:sz w:val="21"/>
          <w:szCs w:val="21"/>
          <w:u w:val="single"/>
        </w:rPr>
        <w:t xml:space="preserve">       （采购项目名称）</w:t>
      </w:r>
      <w:r>
        <w:rPr>
          <w:rFonts w:hint="eastAsia" w:ascii="宋体" w:hAnsi="宋体" w:eastAsia="宋体" w:cs="宋体"/>
          <w:color w:val="auto"/>
          <w:sz w:val="21"/>
          <w:szCs w:val="21"/>
        </w:rPr>
        <w:t>” （项目编号: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政府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auto"/>
          <w:sz w:val="21"/>
          <w:szCs w:val="21"/>
        </w:rPr>
      </w:pPr>
    </w:p>
    <w:p>
      <w:pPr>
        <w:spacing w:after="0" w:line="360" w:lineRule="auto"/>
        <w:rPr>
          <w:rFonts w:ascii="宋体" w:hAnsi="宋体" w:eastAsia="宋体" w:cs="宋体"/>
          <w:color w:val="auto"/>
          <w:sz w:val="21"/>
          <w:szCs w:val="21"/>
        </w:rPr>
      </w:pPr>
    </w:p>
    <w:p>
      <w:pPr>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投标人名称（盖章）：</w:t>
      </w:r>
    </w:p>
    <w:p>
      <w:pPr>
        <w:spacing w:after="0" w:line="360" w:lineRule="auto"/>
        <w:rPr>
          <w:rFonts w:ascii="宋体" w:hAnsi="宋体" w:eastAsia="宋体" w:cs="宋体"/>
          <w:color w:val="auto"/>
          <w:sz w:val="21"/>
          <w:szCs w:val="21"/>
        </w:rPr>
      </w:pPr>
    </w:p>
    <w:p>
      <w:pPr>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日期：</w:t>
      </w:r>
    </w:p>
    <w:p>
      <w:pPr>
        <w:adjustRightInd/>
        <w:snapToGrid/>
        <w:spacing w:line="276" w:lineRule="auto"/>
        <w:rPr>
          <w:rFonts w:ascii="楷体_GB2312" w:eastAsia="楷体_GB2312" w:hAnsiTheme="majorHAnsi" w:cstheme="majorBidi"/>
          <w:b/>
          <w:bCs/>
          <w:color w:val="auto"/>
          <w:sz w:val="24"/>
          <w:szCs w:val="28"/>
        </w:rPr>
      </w:pPr>
      <w:bookmarkStart w:id="204" w:name="_Toc417907703"/>
      <w:r>
        <w:rPr>
          <w:rFonts w:ascii="楷体_GB2312" w:eastAsia="楷体_GB2312"/>
          <w:color w:val="auto"/>
          <w:sz w:val="24"/>
        </w:rPr>
        <w:br w:type="page"/>
      </w:r>
    </w:p>
    <w:p>
      <w:pPr>
        <w:pStyle w:val="6"/>
        <w:widowControl w:val="0"/>
        <w:overflowPunct w:val="0"/>
        <w:spacing w:before="0" w:after="0" w:line="240" w:lineRule="auto"/>
        <w:rPr>
          <w:color w:val="auto"/>
        </w:rPr>
      </w:pPr>
      <w:bookmarkStart w:id="205" w:name="_Toc21223"/>
      <w:r>
        <w:rPr>
          <w:rFonts w:hint="eastAsia" w:ascii="宋体" w:hAnsi="宋体" w:eastAsia="宋体"/>
          <w:color w:val="auto"/>
          <w:sz w:val="21"/>
          <w:szCs w:val="21"/>
        </w:rPr>
        <w:t>附件18. 中小企业声明函（投标人为中小企业时适用）</w:t>
      </w:r>
      <w:bookmarkEnd w:id="204"/>
      <w:bookmarkEnd w:id="205"/>
    </w:p>
    <w:p>
      <w:pPr>
        <w:jc w:val="center"/>
        <w:rPr>
          <w:rFonts w:ascii="微软雅黑" w:hAnsi="微软雅黑" w:cs="微软雅黑"/>
          <w:b/>
          <w:color w:val="auto"/>
          <w:sz w:val="28"/>
          <w:szCs w:val="28"/>
        </w:rPr>
      </w:pPr>
    </w:p>
    <w:p>
      <w:pPr>
        <w:jc w:val="center"/>
        <w:rPr>
          <w:rFonts w:ascii="黑体" w:eastAsia="黑体"/>
          <w:color w:val="auto"/>
          <w:sz w:val="28"/>
          <w:szCs w:val="28"/>
        </w:rPr>
      </w:pPr>
      <w:r>
        <w:rPr>
          <w:rFonts w:hint="eastAsia" w:ascii="黑体" w:eastAsia="黑体"/>
          <w:color w:val="auto"/>
          <w:sz w:val="28"/>
          <w:szCs w:val="28"/>
        </w:rPr>
        <w:t>中小企业声明函</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本公司郑重声明，根据《政府采购促进中小企业发展暂行办法》（财库[2011]181号）的规定，本公司为</w:t>
      </w:r>
      <w:r>
        <w:rPr>
          <w:rFonts w:hint="eastAsia" w:ascii="宋体" w:hAnsi="宋体" w:eastAsia="宋体"/>
          <w:color w:val="auto"/>
          <w:sz w:val="21"/>
          <w:szCs w:val="21"/>
          <w:u w:val="single"/>
        </w:rPr>
        <w:t>　（请填写：中型、小型、微型）　</w:t>
      </w:r>
      <w:r>
        <w:rPr>
          <w:rFonts w:hint="eastAsia" w:ascii="宋体" w:hAnsi="宋体" w:eastAsia="宋体"/>
          <w:color w:val="auto"/>
          <w:sz w:val="21"/>
          <w:szCs w:val="21"/>
        </w:rPr>
        <w:t>企业。即，本公司同时满足以下条件：</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color w:val="auto"/>
          <w:sz w:val="21"/>
          <w:szCs w:val="21"/>
          <w:u w:val="single"/>
        </w:rPr>
        <w:t>　（请填写：中型、小型、微型）　</w:t>
      </w:r>
      <w:r>
        <w:rPr>
          <w:rFonts w:hint="eastAsia" w:ascii="宋体" w:hAnsi="宋体" w:eastAsia="宋体"/>
          <w:color w:val="auto"/>
          <w:sz w:val="21"/>
          <w:szCs w:val="21"/>
        </w:rPr>
        <w:t>企业。</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2、本公司参加</w:t>
      </w:r>
      <w:r>
        <w:rPr>
          <w:rFonts w:hint="eastAsia" w:ascii="宋体" w:hAnsi="宋体" w:eastAsia="宋体"/>
          <w:color w:val="auto"/>
          <w:sz w:val="21"/>
          <w:szCs w:val="21"/>
          <w:u w:val="single"/>
        </w:rPr>
        <w:t>　　（采购人）　　</w:t>
      </w:r>
      <w:r>
        <w:rPr>
          <w:rFonts w:hint="eastAsia" w:ascii="宋体" w:hAnsi="宋体" w:eastAsia="宋体"/>
          <w:color w:val="auto"/>
          <w:sz w:val="21"/>
          <w:szCs w:val="21"/>
        </w:rPr>
        <w:t>的</w:t>
      </w:r>
      <w:r>
        <w:rPr>
          <w:rFonts w:hint="eastAsia" w:ascii="宋体" w:hAnsi="宋体" w:eastAsia="宋体"/>
          <w:color w:val="auto"/>
          <w:sz w:val="21"/>
          <w:szCs w:val="21"/>
          <w:u w:val="single"/>
        </w:rPr>
        <w:t>　　（采购项目）　　</w:t>
      </w:r>
      <w:r>
        <w:rPr>
          <w:rFonts w:hint="eastAsia" w:ascii="宋体" w:hAnsi="宋体" w:eastAsia="宋体"/>
          <w:color w:val="auto"/>
          <w:sz w:val="21"/>
          <w:szCs w:val="21"/>
        </w:rPr>
        <w:t>采购活动提供本企业制造的货物，由本企业承担工程、提供服务，或者提供其他</w:t>
      </w:r>
      <w:r>
        <w:rPr>
          <w:rFonts w:hint="eastAsia" w:ascii="宋体" w:hAnsi="宋体" w:eastAsia="宋体"/>
          <w:color w:val="auto"/>
          <w:sz w:val="21"/>
          <w:szCs w:val="21"/>
          <w:u w:val="single"/>
        </w:rPr>
        <w:t>　（请填写：中型、小型、微型）　</w:t>
      </w:r>
      <w:r>
        <w:rPr>
          <w:rFonts w:hint="eastAsia" w:ascii="宋体" w:hAnsi="宋体" w:eastAsia="宋体"/>
          <w:color w:val="auto"/>
          <w:sz w:val="21"/>
          <w:szCs w:val="21"/>
        </w:rPr>
        <w:t>企业制造的货物。本条所称货物不包括使用大型企业注册商标的货物。</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本公司对上述声明的真实性负责。如有虚假，将依法承担相应责任。</w:t>
      </w:r>
    </w:p>
    <w:p>
      <w:pPr>
        <w:spacing w:after="0" w:line="480" w:lineRule="auto"/>
        <w:jc w:val="right"/>
        <w:rPr>
          <w:rFonts w:ascii="宋体" w:hAnsi="宋体" w:eastAsia="宋体"/>
          <w:color w:val="auto"/>
          <w:sz w:val="21"/>
          <w:szCs w:val="21"/>
        </w:rPr>
      </w:pPr>
      <w:r>
        <w:rPr>
          <w:rFonts w:hint="eastAsia" w:ascii="宋体" w:hAnsi="宋体" w:eastAsia="宋体"/>
          <w:color w:val="auto"/>
          <w:sz w:val="21"/>
          <w:szCs w:val="21"/>
        </w:rPr>
        <w:t>投标人名称（加盖公章）：</w:t>
      </w:r>
    </w:p>
    <w:p>
      <w:pPr>
        <w:spacing w:after="0" w:line="480" w:lineRule="auto"/>
        <w:jc w:val="right"/>
        <w:rPr>
          <w:rFonts w:ascii="宋体" w:hAnsi="宋体" w:eastAsia="宋体"/>
          <w:color w:val="auto"/>
          <w:sz w:val="21"/>
          <w:szCs w:val="21"/>
        </w:rPr>
      </w:pPr>
      <w:r>
        <w:rPr>
          <w:rFonts w:hint="eastAsia" w:ascii="宋体" w:hAnsi="宋体" w:eastAsia="宋体"/>
          <w:color w:val="auto"/>
          <w:sz w:val="21"/>
          <w:szCs w:val="21"/>
        </w:rPr>
        <w:t>日      期：</w:t>
      </w:r>
    </w:p>
    <w:p>
      <w:pPr>
        <w:rPr>
          <w:rFonts w:ascii="宋体" w:hAnsi="宋体" w:eastAsia="宋体"/>
          <w:color w:val="auto"/>
          <w:sz w:val="21"/>
          <w:szCs w:val="21"/>
        </w:rPr>
      </w:pPr>
      <w:r>
        <w:rPr>
          <w:rFonts w:hint="eastAsia" w:ascii="宋体" w:hAnsi="宋体" w:eastAsia="宋体"/>
          <w:color w:val="auto"/>
          <w:sz w:val="21"/>
          <w:szCs w:val="21"/>
        </w:rPr>
        <w:t>注：</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1、投标人应根据《关于印发中小企业划型标准规定的通知》（工信部联企业[2011]300号）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rPr>
        <w:t>2、若投标人不属于规定的中小企业范围，或提供的产品不是中小企业制造的，则无需提供此表。</w:t>
      </w:r>
    </w:p>
    <w:p>
      <w:pPr>
        <w:spacing w:after="0" w:line="480" w:lineRule="auto"/>
        <w:ind w:firstLine="420" w:firstLineChars="200"/>
        <w:rPr>
          <w:rFonts w:ascii="楷体_GB2312" w:eastAsia="楷体_GB2312"/>
          <w:color w:val="auto"/>
          <w:sz w:val="24"/>
        </w:rPr>
      </w:pPr>
      <w:r>
        <w:rPr>
          <w:rFonts w:hint="eastAsia" w:ascii="宋体" w:hAnsi="宋体" w:eastAsia="宋体"/>
          <w:color w:val="auto"/>
          <w:sz w:val="21"/>
          <w:szCs w:val="21"/>
        </w:rPr>
        <w:t>3、投标人应该在《报价明细表》中单独列明属于小型和微型企业产品（货物、承担的工程或者服务）的报价，若投标人只提供《中小企业声明函》但未列明小型或微型企业产品的，在计算价格得分时不予以相应的扣除。</w:t>
      </w:r>
    </w:p>
    <w:p>
      <w:pPr>
        <w:rPr>
          <w:rFonts w:ascii="楷体_GB2312" w:eastAsia="楷体_GB2312"/>
          <w:color w:val="auto"/>
          <w:sz w:val="24"/>
        </w:rPr>
      </w:pPr>
    </w:p>
    <w:p>
      <w:pPr>
        <w:adjustRightInd/>
        <w:snapToGrid/>
        <w:spacing w:line="276" w:lineRule="auto"/>
        <w:rPr>
          <w:rFonts w:ascii="楷体_GB2312" w:eastAsia="楷体_GB2312" w:hAnsiTheme="majorHAnsi" w:cstheme="majorBidi"/>
          <w:b/>
          <w:bCs/>
          <w:color w:val="auto"/>
          <w:sz w:val="24"/>
          <w:szCs w:val="28"/>
        </w:rPr>
      </w:pPr>
      <w:r>
        <w:rPr>
          <w:rFonts w:ascii="楷体_GB2312" w:eastAsia="楷体_GB2312"/>
          <w:color w:val="auto"/>
          <w:sz w:val="24"/>
        </w:rPr>
        <w:br w:type="page"/>
      </w:r>
    </w:p>
    <w:p>
      <w:pPr>
        <w:pStyle w:val="6"/>
        <w:widowControl w:val="0"/>
        <w:overflowPunct w:val="0"/>
        <w:spacing w:before="0" w:after="0" w:line="240" w:lineRule="auto"/>
        <w:rPr>
          <w:rFonts w:ascii="楷体_GB2312" w:eastAsia="楷体_GB2312"/>
          <w:color w:val="auto"/>
          <w:sz w:val="24"/>
        </w:rPr>
      </w:pPr>
      <w:bookmarkStart w:id="206" w:name="_Toc28081"/>
      <w:r>
        <w:rPr>
          <w:rFonts w:hint="eastAsia" w:ascii="宋体" w:hAnsi="宋体" w:eastAsia="宋体"/>
          <w:color w:val="auto"/>
          <w:sz w:val="21"/>
          <w:szCs w:val="21"/>
        </w:rPr>
        <w:t>附件19.《残疾人福利性单位声明函》（残疾人福利性单位适用）</w:t>
      </w:r>
      <w:bookmarkEnd w:id="206"/>
    </w:p>
    <w:p>
      <w:pPr>
        <w:jc w:val="center"/>
        <w:rPr>
          <w:color w:val="auto"/>
        </w:rPr>
      </w:pPr>
    </w:p>
    <w:p>
      <w:pPr>
        <w:jc w:val="center"/>
        <w:rPr>
          <w:rFonts w:ascii="黑体" w:eastAsia="黑体"/>
          <w:color w:val="auto"/>
          <w:sz w:val="28"/>
          <w:szCs w:val="28"/>
        </w:rPr>
      </w:pPr>
      <w:r>
        <w:rPr>
          <w:rFonts w:hint="eastAsia" w:ascii="黑体" w:eastAsia="黑体"/>
          <w:color w:val="auto"/>
          <w:sz w:val="28"/>
          <w:szCs w:val="28"/>
        </w:rPr>
        <w:t>残疾人福利性单位声明函</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本单位对上述声明的真实性负责。如有虚假，将依法承担相应责任。</w:t>
      </w:r>
    </w:p>
    <w:p>
      <w:pPr>
        <w:spacing w:after="0" w:line="480" w:lineRule="auto"/>
        <w:jc w:val="right"/>
        <w:rPr>
          <w:rFonts w:ascii="宋体" w:hAnsi="宋体" w:eastAsia="宋体"/>
          <w:color w:val="auto"/>
          <w:sz w:val="21"/>
          <w:szCs w:val="21"/>
        </w:rPr>
      </w:pPr>
    </w:p>
    <w:p>
      <w:pPr>
        <w:spacing w:after="0" w:line="480" w:lineRule="auto"/>
        <w:jc w:val="right"/>
        <w:rPr>
          <w:rFonts w:ascii="宋体" w:hAnsi="宋体" w:eastAsia="宋体"/>
          <w:color w:val="auto"/>
          <w:sz w:val="21"/>
          <w:szCs w:val="21"/>
        </w:rPr>
      </w:pPr>
      <w:r>
        <w:rPr>
          <w:rFonts w:hint="eastAsia" w:ascii="宋体" w:hAnsi="宋体" w:eastAsia="宋体"/>
          <w:color w:val="auto"/>
          <w:sz w:val="21"/>
          <w:szCs w:val="21"/>
        </w:rPr>
        <w:t>单位名称（盖章）：</w:t>
      </w:r>
      <w:bookmarkStart w:id="207" w:name="_Toc17761"/>
      <w:bookmarkStart w:id="208" w:name="_Toc20910"/>
      <w:bookmarkStart w:id="209" w:name="_Toc508958703"/>
      <w:bookmarkStart w:id="210" w:name="_Toc30247"/>
      <w:bookmarkStart w:id="211" w:name="_Toc30277"/>
      <w:bookmarkStart w:id="212" w:name="_Toc508898066"/>
      <w:bookmarkStart w:id="213" w:name="_Toc509479530"/>
      <w:bookmarkStart w:id="214" w:name="_Toc510171693"/>
      <w:bookmarkStart w:id="215" w:name="_Toc22970"/>
      <w:bookmarkStart w:id="216" w:name="_Toc509844825"/>
      <w:bookmarkStart w:id="217" w:name="_Toc509927455"/>
      <w:bookmarkStart w:id="218" w:name="_Toc508960153"/>
    </w:p>
    <w:p>
      <w:pPr>
        <w:spacing w:after="0" w:line="480" w:lineRule="auto"/>
        <w:jc w:val="right"/>
        <w:rPr>
          <w:rFonts w:ascii="宋体" w:hAnsi="宋体" w:eastAsia="宋体"/>
          <w:color w:val="auto"/>
          <w:sz w:val="21"/>
          <w:szCs w:val="21"/>
        </w:rPr>
      </w:pPr>
    </w:p>
    <w:p>
      <w:pPr>
        <w:spacing w:after="0" w:line="480" w:lineRule="auto"/>
        <w:jc w:val="right"/>
        <w:rPr>
          <w:rFonts w:ascii="宋体" w:hAnsi="宋体" w:eastAsia="宋体"/>
          <w:color w:val="auto"/>
          <w:sz w:val="21"/>
          <w:szCs w:val="21"/>
        </w:rPr>
      </w:pPr>
      <w:r>
        <w:rPr>
          <w:rFonts w:hint="eastAsia" w:ascii="宋体" w:hAnsi="宋体" w:eastAsia="宋体"/>
          <w:color w:val="auto"/>
          <w:sz w:val="21"/>
          <w:szCs w:val="21"/>
        </w:rPr>
        <w:t>日  期：</w:t>
      </w:r>
      <w:bookmarkEnd w:id="207"/>
      <w:bookmarkEnd w:id="208"/>
      <w:bookmarkEnd w:id="209"/>
      <w:bookmarkEnd w:id="210"/>
      <w:bookmarkEnd w:id="211"/>
      <w:bookmarkEnd w:id="212"/>
      <w:bookmarkEnd w:id="213"/>
      <w:bookmarkEnd w:id="214"/>
      <w:bookmarkEnd w:id="215"/>
      <w:bookmarkEnd w:id="216"/>
      <w:bookmarkEnd w:id="217"/>
      <w:bookmarkEnd w:id="218"/>
    </w:p>
    <w:p>
      <w:pPr>
        <w:pStyle w:val="2"/>
        <w:rPr>
          <w:color w:val="auto"/>
        </w:rPr>
      </w:pPr>
    </w:p>
    <w:p>
      <w:pPr>
        <w:spacing w:after="0" w:line="480" w:lineRule="auto"/>
        <w:ind w:firstLine="420" w:firstLineChars="200"/>
        <w:rPr>
          <w:rFonts w:ascii="宋体" w:hAnsi="宋体" w:eastAsia="宋体"/>
          <w:color w:val="auto"/>
          <w:sz w:val="21"/>
          <w:szCs w:val="21"/>
        </w:rPr>
      </w:pPr>
      <w:bookmarkStart w:id="219" w:name="_Toc509844826"/>
      <w:bookmarkStart w:id="220" w:name="_Toc5447"/>
      <w:bookmarkStart w:id="221" w:name="_Toc28527"/>
      <w:bookmarkStart w:id="222" w:name="_Toc509927456"/>
      <w:bookmarkStart w:id="223" w:name="_Toc509479531"/>
      <w:bookmarkStart w:id="224" w:name="_Toc26216"/>
      <w:bookmarkStart w:id="225" w:name="_Toc508898067"/>
      <w:bookmarkStart w:id="226" w:name="_Toc21053"/>
      <w:bookmarkStart w:id="227" w:name="_Toc508960154"/>
      <w:bookmarkStart w:id="228" w:name="_Toc31520"/>
      <w:bookmarkStart w:id="229" w:name="_Toc510171694"/>
      <w:bookmarkStart w:id="230" w:name="_Toc508958704"/>
      <w:r>
        <w:rPr>
          <w:rFonts w:hint="eastAsia" w:ascii="宋体" w:hAnsi="宋体" w:eastAsia="宋体"/>
          <w:color w:val="auto"/>
          <w:sz w:val="21"/>
          <w:szCs w:val="21"/>
        </w:rPr>
        <w:t>注：（1）符合《财政部 民政部 中国残疾人联合会关于促进残疾人就业政府采购政策的通知》（财库〔2017〕 141号）规定条件的残疾人福利性单位应当提供《残疾人福利性单位声明函》。</w:t>
      </w:r>
      <w:bookmarkEnd w:id="219"/>
      <w:bookmarkEnd w:id="220"/>
      <w:bookmarkEnd w:id="221"/>
      <w:bookmarkEnd w:id="222"/>
      <w:bookmarkEnd w:id="223"/>
      <w:bookmarkEnd w:id="224"/>
      <w:bookmarkEnd w:id="225"/>
      <w:bookmarkEnd w:id="226"/>
      <w:bookmarkEnd w:id="227"/>
      <w:bookmarkEnd w:id="228"/>
      <w:bookmarkEnd w:id="229"/>
      <w:bookmarkEnd w:id="230"/>
    </w:p>
    <w:p>
      <w:pPr>
        <w:spacing w:after="0" w:line="480" w:lineRule="auto"/>
        <w:ind w:firstLine="420" w:firstLineChars="200"/>
        <w:rPr>
          <w:rFonts w:ascii="宋体" w:hAnsi="宋体" w:eastAsia="宋体"/>
          <w:color w:val="auto"/>
          <w:sz w:val="21"/>
          <w:szCs w:val="21"/>
        </w:rPr>
      </w:pPr>
      <w:bookmarkStart w:id="231" w:name="_Toc508958705"/>
      <w:bookmarkStart w:id="232" w:name="_Toc9148"/>
      <w:bookmarkStart w:id="233" w:name="_Toc28126"/>
      <w:bookmarkStart w:id="234" w:name="_Toc28626"/>
      <w:bookmarkStart w:id="235" w:name="_Toc14653"/>
      <w:bookmarkStart w:id="236" w:name="_Toc24848"/>
      <w:bookmarkStart w:id="237" w:name="_Toc509927457"/>
      <w:bookmarkStart w:id="238" w:name="_Toc508960155"/>
      <w:bookmarkStart w:id="239" w:name="_Toc509479532"/>
      <w:bookmarkStart w:id="240" w:name="_Toc509844827"/>
      <w:bookmarkStart w:id="241" w:name="_Toc510171695"/>
      <w:bookmarkStart w:id="242" w:name="_Toc508898068"/>
      <w:r>
        <w:rPr>
          <w:rFonts w:hint="eastAsia" w:ascii="宋体" w:hAnsi="宋体" w:eastAsia="宋体"/>
          <w:color w:val="auto"/>
          <w:sz w:val="21"/>
          <w:szCs w:val="21"/>
        </w:rPr>
        <w:t>（2）中标人为残疾人福利性单位的，采购代理机构将随中标结果同时公告其《残疾人福利性单位声明函》，接受社会监督。</w:t>
      </w:r>
      <w:bookmarkEnd w:id="231"/>
      <w:bookmarkEnd w:id="232"/>
      <w:bookmarkEnd w:id="233"/>
      <w:bookmarkEnd w:id="234"/>
      <w:bookmarkEnd w:id="235"/>
      <w:bookmarkEnd w:id="236"/>
      <w:bookmarkEnd w:id="237"/>
      <w:bookmarkEnd w:id="238"/>
      <w:bookmarkEnd w:id="239"/>
      <w:bookmarkEnd w:id="240"/>
      <w:bookmarkEnd w:id="241"/>
      <w:bookmarkEnd w:id="242"/>
    </w:p>
    <w:p>
      <w:pPr>
        <w:spacing w:after="0" w:line="480" w:lineRule="auto"/>
        <w:ind w:firstLine="420" w:firstLineChars="200"/>
        <w:rPr>
          <w:rFonts w:ascii="宋体" w:hAnsi="宋体" w:eastAsia="宋体"/>
          <w:color w:val="auto"/>
          <w:sz w:val="21"/>
          <w:szCs w:val="21"/>
        </w:rPr>
      </w:pPr>
      <w:bookmarkStart w:id="243" w:name="_Toc509927458"/>
      <w:bookmarkStart w:id="244" w:name="_Toc7858"/>
      <w:bookmarkStart w:id="245" w:name="_Toc22981"/>
      <w:bookmarkStart w:id="246" w:name="_Toc28044"/>
      <w:bookmarkStart w:id="247" w:name="_Toc510171696"/>
      <w:bookmarkStart w:id="248" w:name="_Toc508898069"/>
      <w:bookmarkStart w:id="249" w:name="_Toc508960156"/>
      <w:bookmarkStart w:id="250" w:name="_Toc28686"/>
      <w:bookmarkStart w:id="251" w:name="_Toc509479533"/>
      <w:bookmarkStart w:id="252" w:name="_Toc509844828"/>
      <w:bookmarkStart w:id="253" w:name="_Toc9837"/>
      <w:bookmarkStart w:id="254" w:name="_Toc508958706"/>
      <w:r>
        <w:rPr>
          <w:rFonts w:hint="eastAsia" w:ascii="宋体" w:hAnsi="宋体" w:eastAsia="宋体"/>
          <w:color w:val="auto"/>
          <w:sz w:val="21"/>
          <w:szCs w:val="21"/>
        </w:rPr>
        <w:t>（3）投标人提供的《残疾人福利性单位声明函》与事实不符的，依照《政府采购法》第七十七条第一款的规定追究法律责任。</w:t>
      </w:r>
      <w:bookmarkEnd w:id="243"/>
      <w:bookmarkEnd w:id="244"/>
      <w:bookmarkEnd w:id="245"/>
      <w:bookmarkEnd w:id="246"/>
      <w:bookmarkEnd w:id="247"/>
      <w:bookmarkEnd w:id="248"/>
      <w:bookmarkEnd w:id="249"/>
      <w:bookmarkEnd w:id="250"/>
      <w:bookmarkEnd w:id="251"/>
      <w:bookmarkEnd w:id="252"/>
      <w:bookmarkEnd w:id="253"/>
      <w:bookmarkEnd w:id="254"/>
    </w:p>
    <w:p>
      <w:pPr>
        <w:spacing w:after="0" w:line="480" w:lineRule="auto"/>
        <w:ind w:firstLine="420" w:firstLineChars="200"/>
        <w:rPr>
          <w:rFonts w:ascii="宋体" w:hAnsi="宋体" w:eastAsia="宋体"/>
          <w:color w:val="auto"/>
          <w:sz w:val="21"/>
          <w:szCs w:val="21"/>
        </w:rPr>
      </w:pPr>
      <w:bookmarkStart w:id="255" w:name="_Toc508960157"/>
      <w:bookmarkStart w:id="256" w:name="_Toc510171697"/>
      <w:bookmarkStart w:id="257" w:name="_Toc509844829"/>
      <w:bookmarkStart w:id="258" w:name="_Toc18843"/>
      <w:bookmarkStart w:id="259" w:name="_Toc509479534"/>
      <w:bookmarkStart w:id="260" w:name="_Toc509927459"/>
      <w:bookmarkStart w:id="261" w:name="_Toc508958707"/>
      <w:bookmarkStart w:id="262" w:name="_Toc5289"/>
      <w:bookmarkStart w:id="263" w:name="_Toc508898070"/>
      <w:r>
        <w:rPr>
          <w:rFonts w:hint="eastAsia" w:ascii="宋体" w:hAnsi="宋体" w:eastAsia="宋体"/>
          <w:color w:val="auto"/>
          <w:sz w:val="21"/>
          <w:szCs w:val="21"/>
        </w:rPr>
        <w:t>（4）残疾人福利性单位视同小型、微型企业，享受评审中价格扣除。残疾人福利性单位属于小型、微型企业的，不重复享受政策。</w:t>
      </w:r>
      <w:bookmarkEnd w:id="255"/>
      <w:bookmarkEnd w:id="256"/>
      <w:bookmarkEnd w:id="257"/>
      <w:bookmarkEnd w:id="258"/>
      <w:bookmarkEnd w:id="259"/>
      <w:bookmarkEnd w:id="260"/>
      <w:bookmarkEnd w:id="261"/>
      <w:bookmarkEnd w:id="262"/>
      <w:bookmarkEnd w:id="263"/>
    </w:p>
    <w:p>
      <w:pPr>
        <w:spacing w:after="0" w:line="480"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rPr>
        <w:t>（5）若投标人不属于规定的残疾人福利性单位，或提供的产品不是残疾人福利单位制造的，则无需提供此表。</w:t>
      </w:r>
    </w:p>
    <w:p>
      <w:pPr>
        <w:adjustRightInd/>
        <w:snapToGrid/>
        <w:spacing w:line="276" w:lineRule="auto"/>
        <w:rPr>
          <w:rFonts w:ascii="宋体" w:hAnsi="宋体" w:eastAsia="宋体"/>
          <w:bCs/>
          <w:color w:val="auto"/>
          <w:sz w:val="21"/>
          <w:szCs w:val="21"/>
        </w:rPr>
      </w:pPr>
      <w:r>
        <w:rPr>
          <w:rFonts w:hint="eastAsia" w:ascii="宋体" w:hAnsi="宋体" w:eastAsia="宋体"/>
          <w:bCs/>
          <w:color w:val="auto"/>
          <w:sz w:val="21"/>
          <w:szCs w:val="21"/>
        </w:rPr>
        <w:br w:type="page"/>
      </w:r>
    </w:p>
    <w:p>
      <w:pPr>
        <w:pStyle w:val="6"/>
        <w:widowControl w:val="0"/>
        <w:overflowPunct w:val="0"/>
        <w:spacing w:before="0" w:after="0" w:line="240" w:lineRule="auto"/>
        <w:rPr>
          <w:color w:val="auto"/>
        </w:rPr>
      </w:pPr>
      <w:bookmarkStart w:id="264" w:name="_Toc25634"/>
      <w:r>
        <w:rPr>
          <w:rFonts w:hint="eastAsia" w:ascii="宋体" w:hAnsi="宋体" w:eastAsia="宋体"/>
          <w:color w:val="auto"/>
          <w:sz w:val="21"/>
          <w:szCs w:val="21"/>
        </w:rPr>
        <w:t>附件20. 投标保证金汇入情况说明格式</w:t>
      </w:r>
      <w:bookmarkEnd w:id="264"/>
    </w:p>
    <w:p>
      <w:pPr>
        <w:rPr>
          <w:color w:val="auto"/>
        </w:rPr>
      </w:pPr>
    </w:p>
    <w:p>
      <w:pPr>
        <w:jc w:val="center"/>
        <w:rPr>
          <w:rFonts w:ascii="黑体" w:eastAsia="黑体"/>
          <w:color w:val="auto"/>
          <w:sz w:val="28"/>
          <w:szCs w:val="28"/>
        </w:rPr>
      </w:pPr>
      <w:r>
        <w:rPr>
          <w:rFonts w:hint="eastAsia" w:ascii="黑体" w:eastAsia="黑体"/>
          <w:color w:val="auto"/>
          <w:sz w:val="28"/>
          <w:szCs w:val="28"/>
        </w:rPr>
        <w:t>投标保证金汇入情况说明</w:t>
      </w:r>
    </w:p>
    <w:p>
      <w:pPr>
        <w:spacing w:after="0" w:line="480" w:lineRule="auto"/>
        <w:rPr>
          <w:rFonts w:ascii="宋体" w:hAnsi="宋体" w:eastAsia="宋体"/>
          <w:color w:val="auto"/>
          <w:sz w:val="21"/>
          <w:szCs w:val="21"/>
        </w:rPr>
      </w:pPr>
      <w:r>
        <w:rPr>
          <w:rFonts w:hint="eastAsia" w:ascii="宋体" w:hAnsi="宋体" w:eastAsia="宋体"/>
          <w:color w:val="auto"/>
          <w:sz w:val="21"/>
          <w:szCs w:val="21"/>
        </w:rPr>
        <w:t>致：广东三方诚信招标有限公司东莞分公司：</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本单位已按</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项目</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包（采购项目编号：</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）的招标文件要求，于</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年</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月</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日前以</w:t>
      </w:r>
      <w:r>
        <w:rPr>
          <w:rFonts w:hint="eastAsia" w:ascii="宋体" w:hAnsi="宋体" w:eastAsia="宋体"/>
          <w:color w:val="auto"/>
          <w:sz w:val="21"/>
          <w:szCs w:val="21"/>
          <w:u w:val="single"/>
        </w:rPr>
        <w:t xml:space="preserve">           （付款形式）</w:t>
      </w:r>
      <w:r>
        <w:rPr>
          <w:rFonts w:hint="eastAsia" w:ascii="宋体" w:hAnsi="宋体" w:eastAsia="宋体"/>
          <w:color w:val="auto"/>
          <w:sz w:val="21"/>
          <w:szCs w:val="21"/>
        </w:rPr>
        <w:t>方式汇入指定帐户（帐户名称：</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，帐号：</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 ,开户银行：</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本单位投标保证金的汇款情况：（详见附件－投标保证金进帐单）</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汇出时间：</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年</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月</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日；</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汇款金额：（大写）人民币</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元（小写：￥</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元），</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汇款帐户名称：</w:t>
      </w:r>
      <w:r>
        <w:rPr>
          <w:rFonts w:hint="eastAsia" w:ascii="宋体" w:hAnsi="宋体" w:eastAsia="宋体"/>
          <w:color w:val="auto"/>
          <w:sz w:val="21"/>
          <w:szCs w:val="21"/>
          <w:u w:val="single"/>
        </w:rPr>
        <w:t xml:space="preserve">  （必须是投标时使用的帐户名）   </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帐        号：</w:t>
      </w:r>
      <w:r>
        <w:rPr>
          <w:rFonts w:hint="eastAsia" w:ascii="宋体" w:hAnsi="宋体" w:eastAsia="宋体"/>
          <w:color w:val="auto"/>
          <w:sz w:val="21"/>
          <w:szCs w:val="21"/>
          <w:u w:val="single"/>
        </w:rPr>
        <w:t xml:space="preserve">  （必须是投标时使用的帐号）     </w:t>
      </w:r>
    </w:p>
    <w:p>
      <w:pPr>
        <w:spacing w:after="0" w:line="480" w:lineRule="auto"/>
        <w:ind w:firstLine="420" w:firstLineChars="200"/>
        <w:rPr>
          <w:rFonts w:ascii="宋体" w:hAnsi="宋体" w:eastAsia="宋体"/>
          <w:color w:val="auto"/>
          <w:sz w:val="21"/>
          <w:szCs w:val="21"/>
          <w:u w:val="single"/>
        </w:rPr>
      </w:pPr>
      <w:r>
        <w:rPr>
          <w:rFonts w:hint="eastAsia" w:ascii="宋体" w:hAnsi="宋体" w:eastAsia="宋体"/>
          <w:color w:val="auto"/>
          <w:sz w:val="21"/>
          <w:szCs w:val="21"/>
        </w:rPr>
        <w:t>开 户  银 行：</w:t>
      </w:r>
      <w:r>
        <w:rPr>
          <w:rFonts w:hint="eastAsia" w:ascii="宋体" w:hAnsi="宋体" w:eastAsia="宋体"/>
          <w:color w:val="auto"/>
          <w:sz w:val="21"/>
          <w:szCs w:val="21"/>
          <w:u w:val="single"/>
        </w:rPr>
        <w:t xml:space="preserve">  （      银行   分行  支行    ）</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本单位谨承诺上述资料是正确、真实的，如因上述证明与事实不符导致的一切损失，本单位保证承担赔偿等一切法律责任。</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投标保证金退回时，请按上述资料退回。</w:t>
      </w:r>
    </w:p>
    <w:p>
      <w:pPr>
        <w:spacing w:after="0" w:line="480" w:lineRule="auto"/>
        <w:ind w:right="884" w:rightChars="402"/>
        <w:jc w:val="right"/>
        <w:rPr>
          <w:rFonts w:ascii="宋体" w:hAnsi="宋体" w:eastAsia="宋体"/>
          <w:color w:val="auto"/>
          <w:sz w:val="21"/>
          <w:szCs w:val="21"/>
        </w:rPr>
      </w:pPr>
      <w:r>
        <w:rPr>
          <w:rFonts w:hint="eastAsia" w:ascii="宋体" w:hAnsi="宋体" w:eastAsia="宋体"/>
          <w:color w:val="auto"/>
          <w:sz w:val="21"/>
          <w:szCs w:val="21"/>
        </w:rPr>
        <w:t>（单位公章）</w:t>
      </w:r>
    </w:p>
    <w:p>
      <w:pPr>
        <w:spacing w:after="0" w:line="480" w:lineRule="auto"/>
        <w:ind w:right="658" w:rightChars="299"/>
        <w:jc w:val="right"/>
        <w:rPr>
          <w:rFonts w:ascii="宋体" w:hAnsi="宋体" w:eastAsia="宋体"/>
          <w:color w:val="auto"/>
          <w:sz w:val="21"/>
          <w:szCs w:val="21"/>
        </w:rPr>
      </w:pPr>
      <w:r>
        <w:rPr>
          <w:rFonts w:hint="eastAsia" w:ascii="宋体" w:hAnsi="宋体" w:eastAsia="宋体"/>
          <w:color w:val="auto"/>
          <w:sz w:val="21"/>
          <w:szCs w:val="21"/>
        </w:rPr>
        <w:t>年 月 日</w:t>
      </w:r>
    </w:p>
    <w:p>
      <w:pPr>
        <w:spacing w:after="0" w:line="480" w:lineRule="auto"/>
        <w:rPr>
          <w:rFonts w:ascii="宋体" w:hAnsi="宋体" w:eastAsia="宋体"/>
          <w:color w:val="auto"/>
          <w:sz w:val="21"/>
          <w:szCs w:val="21"/>
        </w:rPr>
      </w:pPr>
      <w:r>
        <w:rPr>
          <w:rFonts w:hint="eastAsia" w:ascii="宋体" w:hAnsi="宋体" w:eastAsia="宋体"/>
          <w:color w:val="auto"/>
          <w:sz w:val="21"/>
          <w:szCs w:val="21"/>
        </w:rPr>
        <w:t>单位名称：</w:t>
      </w:r>
      <w:r>
        <w:rPr>
          <w:rFonts w:hint="eastAsia" w:ascii="宋体" w:hAnsi="宋体" w:eastAsia="宋体"/>
          <w:color w:val="auto"/>
          <w:sz w:val="21"/>
          <w:szCs w:val="21"/>
          <w:u w:val="single"/>
        </w:rPr>
        <w:t xml:space="preserve">           </w:t>
      </w:r>
    </w:p>
    <w:p>
      <w:pPr>
        <w:spacing w:after="0" w:line="480" w:lineRule="auto"/>
        <w:rPr>
          <w:rFonts w:ascii="宋体" w:hAnsi="宋体" w:eastAsia="宋体"/>
          <w:color w:val="auto"/>
          <w:sz w:val="21"/>
          <w:szCs w:val="21"/>
        </w:rPr>
      </w:pPr>
      <w:r>
        <w:rPr>
          <w:rFonts w:hint="eastAsia" w:ascii="宋体" w:hAnsi="宋体" w:eastAsia="宋体"/>
          <w:color w:val="auto"/>
          <w:sz w:val="21"/>
          <w:szCs w:val="21"/>
        </w:rPr>
        <w:t>单位地址：</w:t>
      </w:r>
      <w:r>
        <w:rPr>
          <w:rFonts w:hint="eastAsia" w:ascii="宋体" w:hAnsi="宋体" w:eastAsia="宋体"/>
          <w:color w:val="auto"/>
          <w:sz w:val="21"/>
          <w:szCs w:val="21"/>
          <w:u w:val="single"/>
        </w:rPr>
        <w:t xml:space="preserve">           </w:t>
      </w:r>
    </w:p>
    <w:p>
      <w:pPr>
        <w:spacing w:after="0" w:line="480" w:lineRule="auto"/>
        <w:rPr>
          <w:rFonts w:ascii="宋体" w:hAnsi="宋体" w:eastAsia="宋体"/>
          <w:color w:val="auto"/>
          <w:sz w:val="21"/>
          <w:szCs w:val="21"/>
        </w:rPr>
      </w:pPr>
      <w:r>
        <w:rPr>
          <w:rFonts w:hint="eastAsia" w:ascii="宋体" w:hAnsi="宋体" w:eastAsia="宋体"/>
          <w:color w:val="auto"/>
          <w:sz w:val="21"/>
          <w:szCs w:val="21"/>
        </w:rPr>
        <w:t>联系人：</w:t>
      </w:r>
      <w:r>
        <w:rPr>
          <w:rFonts w:hint="eastAsia" w:ascii="宋体" w:hAnsi="宋体" w:eastAsia="宋体"/>
          <w:color w:val="auto"/>
          <w:sz w:val="21"/>
          <w:szCs w:val="21"/>
          <w:u w:val="single"/>
        </w:rPr>
        <w:t xml:space="preserve">                   </w:t>
      </w:r>
    </w:p>
    <w:p>
      <w:pPr>
        <w:spacing w:after="0" w:line="480" w:lineRule="auto"/>
        <w:rPr>
          <w:rFonts w:ascii="宋体" w:hAnsi="宋体" w:eastAsia="宋体"/>
          <w:color w:val="auto"/>
          <w:sz w:val="21"/>
          <w:szCs w:val="21"/>
        </w:rPr>
      </w:pPr>
      <w:r>
        <w:rPr>
          <w:rFonts w:hint="eastAsia" w:ascii="宋体" w:hAnsi="宋体" w:eastAsia="宋体"/>
          <w:color w:val="auto"/>
          <w:sz w:val="21"/>
          <w:szCs w:val="21"/>
        </w:rPr>
        <w:t>单位电话：</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 联系人手机：</w:t>
      </w:r>
      <w:r>
        <w:rPr>
          <w:rFonts w:hint="eastAsia" w:ascii="宋体" w:hAnsi="宋体" w:eastAsia="宋体"/>
          <w:color w:val="auto"/>
          <w:sz w:val="21"/>
          <w:szCs w:val="21"/>
          <w:u w:val="single"/>
        </w:rPr>
        <w:t xml:space="preserve">              </w:t>
      </w:r>
    </w:p>
    <w:p>
      <w:pPr>
        <w:spacing w:after="0"/>
        <w:rPr>
          <w:rFonts w:ascii="宋体" w:hAnsi="宋体" w:eastAsia="宋体"/>
          <w:color w:val="auto"/>
          <w:sz w:val="21"/>
          <w:szCs w:val="21"/>
        </w:rPr>
      </w:pPr>
    </w:p>
    <w:p>
      <w:pPr>
        <w:spacing w:after="0" w:line="380" w:lineRule="exact"/>
        <w:ind w:firstLine="420" w:firstLineChars="200"/>
        <w:rPr>
          <w:rFonts w:ascii="宋体" w:hAnsi="宋体" w:eastAsia="宋体"/>
          <w:color w:val="auto"/>
          <w:sz w:val="21"/>
          <w:szCs w:val="21"/>
        </w:rPr>
      </w:pPr>
      <w:r>
        <w:rPr>
          <w:rFonts w:hint="eastAsia" w:ascii="宋体" w:hAnsi="宋体" w:eastAsia="宋体"/>
          <w:color w:val="auto"/>
          <w:sz w:val="21"/>
          <w:szCs w:val="21"/>
        </w:rPr>
        <w:br w:type="page"/>
      </w:r>
    </w:p>
    <w:p>
      <w:pPr>
        <w:spacing w:after="0" w:line="380" w:lineRule="exact"/>
        <w:ind w:firstLine="420" w:firstLineChars="200"/>
        <w:rPr>
          <w:rFonts w:ascii="宋体" w:hAnsi="宋体" w:eastAsia="宋体"/>
          <w:color w:val="auto"/>
          <w:sz w:val="21"/>
          <w:szCs w:val="21"/>
        </w:rPr>
      </w:pPr>
      <w:r>
        <w:rPr>
          <w:rFonts w:hint="eastAsia" w:ascii="宋体" w:hAnsi="宋体" w:eastAsia="宋体"/>
          <w:color w:val="auto"/>
          <w:sz w:val="21"/>
          <w:szCs w:val="21"/>
        </w:rPr>
        <w:t>附：我方投标保证金汇款凭证</w:t>
      </w:r>
    </w:p>
    <w:tbl>
      <w:tblPr>
        <w:tblStyle w:val="16"/>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color w:val="auto"/>
                <w:sz w:val="21"/>
                <w:szCs w:val="21"/>
              </w:rPr>
            </w:pPr>
            <w:r>
              <w:rPr>
                <w:rFonts w:hint="eastAsia" w:ascii="宋体" w:hAnsi="宋体" w:eastAsia="宋体"/>
                <w:color w:val="auto"/>
                <w:sz w:val="21"/>
                <w:szCs w:val="21"/>
              </w:rPr>
              <w:t>（粘贴汇款单或转账</w:t>
            </w:r>
            <w:r>
              <w:rPr>
                <w:rFonts w:ascii="宋体" w:hAnsi="宋体" w:eastAsia="宋体"/>
                <w:color w:val="auto"/>
                <w:sz w:val="21"/>
                <w:szCs w:val="21"/>
              </w:rPr>
              <w:t>凭证</w:t>
            </w:r>
            <w:r>
              <w:rPr>
                <w:rFonts w:hint="eastAsia" w:ascii="宋体" w:hAnsi="宋体" w:eastAsia="宋体"/>
                <w:color w:val="auto"/>
                <w:sz w:val="21"/>
                <w:szCs w:val="21"/>
              </w:rPr>
              <w:t>复印件，并在骑缝上加盖投标人公章，或是直接把转账</w:t>
            </w:r>
            <w:r>
              <w:rPr>
                <w:rFonts w:ascii="宋体" w:hAnsi="宋体" w:eastAsia="宋体"/>
                <w:color w:val="auto"/>
                <w:sz w:val="21"/>
                <w:szCs w:val="21"/>
              </w:rPr>
              <w:t>凭证</w:t>
            </w:r>
            <w:r>
              <w:rPr>
                <w:rFonts w:hint="eastAsia" w:ascii="宋体" w:hAnsi="宋体" w:eastAsia="宋体"/>
                <w:color w:val="auto"/>
                <w:sz w:val="21"/>
                <w:szCs w:val="21"/>
              </w:rPr>
              <w:t>复印到此张纸上）</w:t>
            </w:r>
          </w:p>
        </w:tc>
      </w:tr>
    </w:tbl>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注：此表既要装订在投标文件中，又要按投标人须知的规定与开标一览表、投标保证金汇款底单复印件及授权委托书一同密封装入开标文件，开标文件单独提交。</w:t>
      </w:r>
    </w:p>
    <w:p>
      <w:pPr>
        <w:rPr>
          <w:rFonts w:ascii="宋体" w:hAnsi="宋体" w:eastAsia="宋体"/>
          <w:color w:val="auto"/>
          <w:sz w:val="21"/>
          <w:szCs w:val="21"/>
        </w:rPr>
      </w:pPr>
    </w:p>
    <w:p>
      <w:pPr>
        <w:rPr>
          <w:rFonts w:ascii="宋体" w:hAnsi="宋体" w:eastAsia="宋体"/>
          <w:color w:val="auto"/>
          <w:sz w:val="21"/>
          <w:szCs w:val="21"/>
        </w:rPr>
      </w:pPr>
      <w:r>
        <w:rPr>
          <w:rFonts w:hint="eastAsia" w:ascii="宋体" w:hAnsi="宋体" w:eastAsia="宋体"/>
          <w:color w:val="auto"/>
          <w:sz w:val="21"/>
          <w:szCs w:val="21"/>
        </w:rPr>
        <w:br w:type="page"/>
      </w:r>
    </w:p>
    <w:p>
      <w:pPr>
        <w:pStyle w:val="6"/>
        <w:widowControl w:val="0"/>
        <w:overflowPunct w:val="0"/>
        <w:spacing w:before="0" w:after="0" w:line="240" w:lineRule="auto"/>
        <w:rPr>
          <w:rFonts w:ascii="宋体" w:hAnsi="宋体" w:eastAsia="宋体"/>
          <w:color w:val="auto"/>
          <w:sz w:val="21"/>
          <w:szCs w:val="21"/>
        </w:rPr>
      </w:pPr>
      <w:bookmarkStart w:id="265" w:name="_Toc4363"/>
      <w:r>
        <w:rPr>
          <w:rFonts w:hint="eastAsia" w:ascii="宋体" w:hAnsi="宋体" w:eastAsia="宋体"/>
          <w:color w:val="auto"/>
          <w:sz w:val="21"/>
          <w:szCs w:val="21"/>
        </w:rPr>
        <w:t>附件21.政府采购投标担保函</w:t>
      </w:r>
      <w:bookmarkEnd w:id="265"/>
      <w:r>
        <w:rPr>
          <w:rFonts w:hint="eastAsia" w:ascii="宋体" w:hAnsi="宋体" w:eastAsia="宋体"/>
          <w:color w:val="auto"/>
          <w:sz w:val="21"/>
          <w:szCs w:val="21"/>
        </w:rPr>
        <w:t xml:space="preserve"> </w:t>
      </w:r>
    </w:p>
    <w:p>
      <w:pPr>
        <w:jc w:val="center"/>
        <w:rPr>
          <w:rFonts w:ascii="黑体" w:eastAsia="黑体"/>
          <w:color w:val="auto"/>
          <w:sz w:val="28"/>
          <w:szCs w:val="28"/>
        </w:rPr>
      </w:pPr>
    </w:p>
    <w:p>
      <w:pPr>
        <w:jc w:val="center"/>
        <w:rPr>
          <w:rFonts w:ascii="黑体" w:eastAsia="黑体"/>
          <w:color w:val="auto"/>
          <w:sz w:val="28"/>
          <w:szCs w:val="28"/>
        </w:rPr>
      </w:pPr>
      <w:r>
        <w:rPr>
          <w:rFonts w:hint="eastAsia" w:ascii="黑体" w:eastAsia="黑体"/>
          <w:color w:val="auto"/>
          <w:sz w:val="28"/>
          <w:szCs w:val="28"/>
        </w:rPr>
        <w:t>政府采购投标担保函</w:t>
      </w:r>
    </w:p>
    <w:p>
      <w:pPr>
        <w:wordWrap w:val="0"/>
        <w:jc w:val="right"/>
        <w:rPr>
          <w:rFonts w:ascii="仿宋_GB2312" w:eastAsia="仿宋_GB2312"/>
          <w:color w:val="auto"/>
          <w:sz w:val="32"/>
          <w:szCs w:val="32"/>
        </w:rPr>
      </w:pPr>
      <w:r>
        <w:rPr>
          <w:rFonts w:hint="eastAsia" w:ascii="黑体" w:eastAsia="黑体"/>
          <w:color w:val="auto"/>
          <w:sz w:val="28"/>
          <w:szCs w:val="28"/>
        </w:rPr>
        <w:t xml:space="preserve"> 编号：</w:t>
      </w:r>
      <w:r>
        <w:rPr>
          <w:rFonts w:hint="eastAsia" w:ascii="仿宋_GB2312" w:eastAsia="仿宋_GB2312"/>
          <w:color w:val="auto"/>
          <w:sz w:val="32"/>
          <w:szCs w:val="32"/>
        </w:rPr>
        <w:t xml:space="preserve">      </w:t>
      </w:r>
    </w:p>
    <w:p>
      <w:pPr>
        <w:spacing w:after="0" w:line="480" w:lineRule="auto"/>
        <w:rPr>
          <w:rFonts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（采购人或采购代理机构）：</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鉴于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（以下简称“投标人”）拟参加编号为</w:t>
      </w:r>
      <w:r>
        <w:rPr>
          <w:rFonts w:hint="eastAsia" w:ascii="宋体" w:hAnsi="宋体" w:eastAsia="宋体" w:cs="宋体"/>
          <w:color w:val="auto"/>
          <w:sz w:val="21"/>
          <w:szCs w:val="21"/>
          <w:u w:val="single"/>
        </w:rPr>
        <w:t xml:space="preserve">            的</w:t>
      </w:r>
    </w:p>
    <w:p>
      <w:pPr>
        <w:spacing w:after="0" w:line="480" w:lineRule="auto"/>
        <w:rPr>
          <w:rFonts w:ascii="宋体" w:hAnsi="宋体" w:eastAsia="宋体" w:cs="宋体"/>
          <w:color w:val="auto"/>
          <w:sz w:val="21"/>
          <w:szCs w:val="21"/>
        </w:rPr>
      </w:pPr>
      <w:r>
        <w:rPr>
          <w:rFonts w:hint="eastAsia" w:ascii="宋体" w:hAnsi="宋体" w:eastAsia="宋体" w:cs="宋体"/>
          <w:color w:val="auto"/>
          <w:sz w:val="21"/>
          <w:szCs w:val="21"/>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after="0" w:line="48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一、保证责任的情形及保证金额</w:t>
      </w:r>
    </w:p>
    <w:p>
      <w:pPr>
        <w:spacing w:after="0" w:line="480" w:lineRule="auto"/>
        <w:ind w:firstLine="210" w:firstLineChars="100"/>
        <w:rPr>
          <w:rFonts w:ascii="宋体" w:hAnsi="宋体" w:eastAsia="宋体" w:cs="宋体"/>
          <w:color w:val="auto"/>
          <w:sz w:val="21"/>
          <w:szCs w:val="21"/>
        </w:rPr>
      </w:pPr>
      <w:r>
        <w:rPr>
          <w:rFonts w:hint="eastAsia" w:ascii="宋体" w:hAnsi="宋体" w:eastAsia="宋体" w:cs="宋体"/>
          <w:color w:val="auto"/>
          <w:sz w:val="21"/>
          <w:szCs w:val="21"/>
        </w:rPr>
        <w:t>（一）在投标人出现下列情形之一时，我方承担保证责任：</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1．中标后投标人无正当理由不与采购人或者采购代理机构签订《政府采购合同》；</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2．招标文件规定的投标人应当缴纳保证金的其他情形。</w:t>
      </w:r>
    </w:p>
    <w:p>
      <w:pPr>
        <w:spacing w:after="0" w:line="480" w:lineRule="auto"/>
        <w:ind w:firstLine="210" w:firstLineChars="100"/>
        <w:rPr>
          <w:rFonts w:ascii="宋体" w:hAnsi="宋体" w:eastAsia="宋体" w:cs="宋体"/>
          <w:color w:val="auto"/>
          <w:sz w:val="21"/>
          <w:szCs w:val="21"/>
        </w:rPr>
      </w:pPr>
      <w:r>
        <w:rPr>
          <w:rFonts w:hint="eastAsia" w:ascii="宋体" w:hAnsi="宋体" w:eastAsia="宋体" w:cs="宋体"/>
          <w:color w:val="auto"/>
          <w:sz w:val="21"/>
          <w:szCs w:val="21"/>
        </w:rPr>
        <w:t>（二）我方承担保证责任的最高金额为人民币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），即本项目的投标保证金金额。</w:t>
      </w:r>
    </w:p>
    <w:p>
      <w:pPr>
        <w:spacing w:after="0" w:line="48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二、保证的方式及保证期间</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我方保证的方式为：连带责任保证。</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我方的保证期间为：自本保函生效之日起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个月止。</w:t>
      </w:r>
    </w:p>
    <w:p>
      <w:pPr>
        <w:spacing w:after="0" w:line="48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三、承担保证责任的程序</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2．我方在收到索赔通知及相关证明材料后，在</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个工作日内进行审查，符合应承担保证责任情形的，我方应按照你方的要求代投标人向你方支付投标保证金。</w:t>
      </w:r>
    </w:p>
    <w:p>
      <w:pPr>
        <w:spacing w:after="0" w:line="48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四、保证责任的终止</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1．保证期间届满你方未向我方书面主张保证责任的，自保证期间届满次日起，我方保证责任自动终止。</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2．我方按照本保函向你贵方履行了保证责任后，自我方向你贵方支付款项（支付款项从我方账户划出）之日起，保证责任终止。</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3．按照法律法规的规定或出现我方保证责任终止的其它情形的，我方在本保函项下的保证责任亦终止。</w:t>
      </w:r>
    </w:p>
    <w:p>
      <w:pPr>
        <w:spacing w:after="0" w:line="48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五、免责条款</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1．依照法律规定或你方与投标人的另行约定，全部或者部分免除投标人投标保证金义务时，我方亦免除相应的保证责任。</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2．因你方原因致使投标人发生本保函第一条第（一）款约定情形的，我方不承担保证责任。</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3．因不可抗力造成投标人发生本保函第一条约定情形的，我方不承担保证责任。</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4．你方或其他有权机关对招标文件进行任何澄清或修改，加重我方保证责任的，我方对加重部分不承担保证责任，但该澄清或修改经我方事先书面同意的除外。</w:t>
      </w:r>
    </w:p>
    <w:p>
      <w:pPr>
        <w:spacing w:after="0" w:line="48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六、争议的解决</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因本保函发生的纠纷，由你我双方协商解决，协商不成的，通过诉讼程序解决，诉讼管辖地法院为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法院。</w:t>
      </w:r>
    </w:p>
    <w:p>
      <w:pPr>
        <w:spacing w:after="0" w:line="48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七、保函的生效</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本保函自我方加盖公章之日起生效。</w:t>
      </w:r>
    </w:p>
    <w:p>
      <w:pPr>
        <w:spacing w:after="0" w:line="480" w:lineRule="auto"/>
        <w:jc w:val="right"/>
        <w:rPr>
          <w:rFonts w:ascii="宋体" w:hAnsi="宋体" w:eastAsia="宋体" w:cs="宋体"/>
          <w:color w:val="auto"/>
          <w:sz w:val="21"/>
          <w:szCs w:val="21"/>
        </w:rPr>
      </w:pPr>
    </w:p>
    <w:p>
      <w:pPr>
        <w:spacing w:after="0" w:line="480" w:lineRule="auto"/>
        <w:jc w:val="right"/>
        <w:rPr>
          <w:rFonts w:ascii="宋体" w:hAnsi="宋体" w:eastAsia="宋体" w:cs="宋体"/>
          <w:color w:val="auto"/>
          <w:sz w:val="21"/>
          <w:szCs w:val="21"/>
        </w:rPr>
      </w:pPr>
      <w:r>
        <w:rPr>
          <w:rFonts w:hint="eastAsia" w:ascii="宋体" w:hAnsi="宋体" w:eastAsia="宋体" w:cs="宋体"/>
          <w:color w:val="auto"/>
          <w:sz w:val="21"/>
          <w:szCs w:val="21"/>
        </w:rPr>
        <w:t>保证人：（公章）</w:t>
      </w:r>
    </w:p>
    <w:p>
      <w:pPr>
        <w:spacing w:after="0" w:line="480" w:lineRule="auto"/>
        <w:jc w:val="right"/>
        <w:rPr>
          <w:rFonts w:ascii="宋体" w:hAnsi="宋体" w:eastAsia="宋体" w:cs="宋体"/>
          <w:color w:val="auto"/>
          <w:sz w:val="21"/>
          <w:szCs w:val="21"/>
        </w:rPr>
      </w:pPr>
      <w:r>
        <w:rPr>
          <w:rFonts w:hint="eastAsia" w:ascii="宋体" w:hAnsi="宋体" w:eastAsia="宋体" w:cs="宋体"/>
          <w:color w:val="auto"/>
          <w:sz w:val="21"/>
          <w:szCs w:val="21"/>
        </w:rPr>
        <w:t>年     月      日</w:t>
      </w:r>
    </w:p>
    <w:p>
      <w:pPr>
        <w:spacing w:after="0"/>
        <w:rPr>
          <w:rFonts w:ascii="宋体" w:hAnsi="宋体" w:eastAsia="宋体"/>
          <w:color w:val="auto"/>
          <w:sz w:val="21"/>
          <w:szCs w:val="21"/>
        </w:rPr>
      </w:pPr>
    </w:p>
    <w:p>
      <w:pPr>
        <w:spacing w:after="0"/>
        <w:rPr>
          <w:rFonts w:ascii="宋体" w:hAnsi="宋体" w:eastAsia="宋体"/>
          <w:color w:val="auto"/>
          <w:sz w:val="21"/>
          <w:szCs w:val="21"/>
        </w:rPr>
      </w:pPr>
      <w:r>
        <w:rPr>
          <w:rFonts w:hint="eastAsia" w:ascii="宋体" w:hAnsi="宋体" w:eastAsia="宋体"/>
          <w:color w:val="auto"/>
          <w:sz w:val="21"/>
          <w:szCs w:val="21"/>
        </w:rPr>
        <w:t>注：</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（1）若投标人不以投标担保函形式提交投标保证金，则无需在投标文件中提供此格式。</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（2）若投标人以投标担保函形式提交投标保证金，则应将投标担保函原件交予采购代理机构。</w:t>
      </w:r>
    </w:p>
    <w:p>
      <w:pPr>
        <w:spacing w:after="0"/>
        <w:rPr>
          <w:rFonts w:ascii="黑体" w:eastAsia="黑体"/>
          <w:color w:val="auto"/>
          <w:sz w:val="30"/>
          <w:szCs w:val="30"/>
        </w:rPr>
      </w:pPr>
      <w:r>
        <w:rPr>
          <w:rFonts w:hint="eastAsia" w:ascii="宋体" w:hAnsi="宋体" w:eastAsia="宋体"/>
          <w:color w:val="auto"/>
          <w:sz w:val="21"/>
          <w:szCs w:val="21"/>
        </w:rPr>
        <w:br w:type="page"/>
      </w:r>
      <w:bookmarkStart w:id="266" w:name="_Toc27534"/>
      <w:r>
        <w:rPr>
          <w:rStyle w:val="25"/>
          <w:rFonts w:hint="eastAsia" w:ascii="宋体" w:hAnsi="宋体" w:eastAsia="宋体" w:cs="宋体"/>
          <w:color w:val="auto"/>
          <w:sz w:val="21"/>
          <w:szCs w:val="21"/>
        </w:rPr>
        <w:t>附件22.政府采购履约担保函</w:t>
      </w:r>
      <w:bookmarkEnd w:id="266"/>
    </w:p>
    <w:p>
      <w:pPr>
        <w:jc w:val="center"/>
        <w:rPr>
          <w:rFonts w:ascii="黑体" w:eastAsia="黑体"/>
          <w:color w:val="auto"/>
          <w:sz w:val="28"/>
          <w:szCs w:val="28"/>
        </w:rPr>
      </w:pPr>
      <w:r>
        <w:rPr>
          <w:rFonts w:hint="eastAsia" w:ascii="黑体" w:eastAsia="黑体"/>
          <w:color w:val="auto"/>
          <w:sz w:val="28"/>
          <w:szCs w:val="28"/>
        </w:rPr>
        <w:t>政府采购履约担保函</w:t>
      </w:r>
    </w:p>
    <w:p>
      <w:pPr>
        <w:wordWrap w:val="0"/>
        <w:jc w:val="right"/>
        <w:rPr>
          <w:rFonts w:ascii="仿宋_GB2312" w:eastAsia="仿宋_GB2312"/>
          <w:color w:val="auto"/>
          <w:sz w:val="32"/>
          <w:szCs w:val="32"/>
        </w:rPr>
      </w:pPr>
      <w:r>
        <w:rPr>
          <w:rFonts w:hint="eastAsia" w:ascii="黑体" w:eastAsia="黑体"/>
          <w:color w:val="auto"/>
          <w:sz w:val="28"/>
          <w:szCs w:val="28"/>
        </w:rPr>
        <w:t xml:space="preserve">编号：  </w:t>
      </w:r>
      <w:r>
        <w:rPr>
          <w:rFonts w:hint="eastAsia" w:ascii="仿宋_GB2312" w:eastAsia="仿宋_GB2312"/>
          <w:color w:val="auto"/>
          <w:sz w:val="32"/>
          <w:szCs w:val="32"/>
        </w:rPr>
        <w:t xml:space="preserve">       </w:t>
      </w:r>
    </w:p>
    <w:p>
      <w:pPr>
        <w:spacing w:after="0" w:line="480" w:lineRule="auto"/>
        <w:rPr>
          <w:rFonts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（采购人）：</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鉴于你方与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（以下简称供应商）于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日签定编号为   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政府采购合同》（以下简称主合同），且依据该合同的约定，供应商应在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日前向你方交纳履约保证金，且可以履约担保函的形式交纳履约保证金。应供应商的申请，我方以保证的方式向你方提供如下履约保证金担保：</w:t>
      </w:r>
    </w:p>
    <w:p>
      <w:pPr>
        <w:spacing w:after="0" w:line="48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一、保证责任的情形及保证金额</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（一）在供应商出现下列情形之一时，我方承担保证责任：</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1．将中标项目转让给他人，或者在投标文件中未说明，且未经采购招标机构人同意，将中标项目分包给他人的；</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 xml:space="preserve">2．主合同约定的应当缴纳履约保证金的情形: </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（1）未按主合同约定的质量、数量和期限供应货物/提供服务/完成工程的；</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after="0" w:line="480" w:lineRule="auto"/>
        <w:ind w:right="-1291" w:rightChars="-587" w:firstLine="420" w:firstLineChars="200"/>
        <w:rPr>
          <w:rFonts w:ascii="宋体" w:hAnsi="宋体" w:eastAsia="宋体" w:cs="宋体"/>
          <w:color w:val="auto"/>
          <w:sz w:val="21"/>
          <w:szCs w:val="21"/>
        </w:rPr>
      </w:pPr>
      <w:r>
        <w:rPr>
          <w:rFonts w:hint="eastAsia" w:ascii="宋体" w:hAnsi="宋体" w:eastAsia="宋体" w:cs="宋体"/>
          <w:color w:val="auto"/>
          <w:sz w:val="21"/>
          <w:szCs w:val="21"/>
        </w:rPr>
        <w:t>（二）我方的保证范围是主合同约定的合同价款总额</w:t>
      </w:r>
      <w:r>
        <w:rPr>
          <w:rFonts w:hint="eastAsia" w:ascii="宋体" w:hAnsi="宋体" w:eastAsia="宋体" w:cs="宋体"/>
          <w:color w:val="auto"/>
          <w:sz w:val="21"/>
          <w:szCs w:val="21"/>
          <w:u w:val="single"/>
        </w:rPr>
        <w:t xml:space="preserve">  </w:t>
      </w:r>
    </w:p>
    <w:p>
      <w:pPr>
        <w:spacing w:after="0" w:line="480" w:lineRule="auto"/>
        <w:ind w:right="26" w:rightChars="12"/>
        <w:rPr>
          <w:rFonts w:ascii="宋体" w:hAnsi="宋体" w:eastAsia="宋体" w:cs="宋体"/>
          <w:color w:val="auto"/>
          <w:sz w:val="21"/>
          <w:szCs w:val="21"/>
        </w:rPr>
      </w:pPr>
      <w:r>
        <w:rPr>
          <w:rFonts w:hint="eastAsia" w:ascii="宋体" w:hAnsi="宋体" w:eastAsia="宋体" w:cs="宋体"/>
          <w:color w:val="auto"/>
          <w:sz w:val="21"/>
          <w:szCs w:val="21"/>
        </w:rPr>
        <w:t>%数额为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。（即主合同履约保证金金额）</w:t>
      </w:r>
    </w:p>
    <w:p>
      <w:pPr>
        <w:spacing w:after="0" w:line="48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二、保证的方式及保证期间</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我方保证的方式为：连带责任保证。</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我方保证的期间为：自本合同生效之日起至供应商按照主合同约定的供货/完工期限届满后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日内。</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如果供应商未按主合同约定向贵方供应货物/提供服务/完成工程的，由我方在保证金额内向你方支付上述款项。</w:t>
      </w:r>
    </w:p>
    <w:p>
      <w:pPr>
        <w:spacing w:after="0" w:line="48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三、承担保证责任的程序</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1．你方要求我方承担保证责任的，应在本保函保证期间内向我方发出书面索赔通知。索赔通知应写明要求索赔的金额，支付款项应到达的帐号。并附有证明供应商违约事实的证明材料。</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如果你方与供应商因货物质量问题产生争议，你方还需同时提供</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部门出具的质量检测报告，或经诉讼（仲裁）程序裁决后的裁决书、调解书，本保证人即按照检测结果或裁决书、调解书决定是否承担保证责任。</w:t>
      </w:r>
    </w:p>
    <w:p>
      <w:pPr>
        <w:spacing w:after="0" w:line="480" w:lineRule="auto"/>
        <w:ind w:right="-726" w:rightChars="-330"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2．我方收到你方的书面索赔通知及相应证明材料，在</w:t>
      </w:r>
      <w:r>
        <w:rPr>
          <w:rFonts w:hint="eastAsia" w:ascii="宋体" w:hAnsi="宋体" w:eastAsia="宋体" w:cs="宋体"/>
          <w:color w:val="auto"/>
          <w:sz w:val="21"/>
          <w:szCs w:val="21"/>
          <w:u w:val="single"/>
        </w:rPr>
        <w:t xml:space="preserve">  </w:t>
      </w:r>
    </w:p>
    <w:p>
      <w:pPr>
        <w:spacing w:after="0" w:line="480" w:lineRule="auto"/>
        <w:ind w:right="-726" w:rightChars="-330"/>
        <w:rPr>
          <w:rFonts w:ascii="宋体" w:hAnsi="宋体" w:eastAsia="宋体" w:cs="宋体"/>
          <w:color w:val="auto"/>
          <w:sz w:val="21"/>
          <w:szCs w:val="21"/>
        </w:rPr>
      </w:pPr>
      <w:r>
        <w:rPr>
          <w:rFonts w:hint="eastAsia" w:ascii="宋体" w:hAnsi="宋体" w:eastAsia="宋体" w:cs="宋体"/>
          <w:color w:val="auto"/>
          <w:sz w:val="21"/>
          <w:szCs w:val="21"/>
        </w:rPr>
        <w:t>工作日内进行核定后按照本保函的承诺承担保证责任。</w:t>
      </w:r>
    </w:p>
    <w:p>
      <w:pPr>
        <w:spacing w:after="0" w:line="48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四、保证责任的终止</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2．我方按照本保函向你方履行了保证责任后，自我方向你方支付款项（支付款项从我方账户划出）之日起，保证责任即终止。</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3．按照法律法规的规定或出现应终止我方保证责任的其它情形的，我方在本保函项下的保证责任亦终止。</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after="0" w:line="48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五、免责条款</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1．因你方违反主合同约定致使供应商不能履行义务的，我方不承担保证责任。</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2．依照法律法规的规定或你方与供应商的另行约定，全部或者部分免除供应商应缴纳的保证金义务的，我方亦免除相应的保证责任。</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3．因不可抗力造成供应商不能履行供货义务的，我方不承担保证责任。</w:t>
      </w:r>
    </w:p>
    <w:p>
      <w:pPr>
        <w:spacing w:after="0" w:line="48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六、争议的解决</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因本保函发生的纠纷，由你我双方协商解决，协商不成的，通过诉讼程序解决，诉讼管辖地法院为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法院。</w:t>
      </w:r>
    </w:p>
    <w:p>
      <w:pPr>
        <w:spacing w:after="0" w:line="48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七、保函的生效</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本保函自我方加盖公章之日起生效。</w:t>
      </w:r>
    </w:p>
    <w:p>
      <w:pPr>
        <w:spacing w:after="0" w:line="480" w:lineRule="auto"/>
        <w:rPr>
          <w:rFonts w:ascii="宋体" w:hAnsi="宋体" w:eastAsia="宋体" w:cs="宋体"/>
          <w:color w:val="auto"/>
          <w:sz w:val="21"/>
          <w:szCs w:val="21"/>
        </w:rPr>
      </w:pPr>
    </w:p>
    <w:p>
      <w:pPr>
        <w:spacing w:after="0" w:line="480" w:lineRule="auto"/>
        <w:rPr>
          <w:rFonts w:ascii="宋体" w:hAnsi="宋体" w:eastAsia="宋体" w:cs="宋体"/>
          <w:color w:val="auto"/>
          <w:sz w:val="21"/>
          <w:szCs w:val="21"/>
        </w:rPr>
      </w:pPr>
      <w:r>
        <w:rPr>
          <w:rFonts w:hint="eastAsia" w:ascii="宋体" w:hAnsi="宋体" w:eastAsia="宋体" w:cs="宋体"/>
          <w:color w:val="auto"/>
          <w:sz w:val="21"/>
          <w:szCs w:val="21"/>
        </w:rPr>
        <w:t xml:space="preserve">                                 </w:t>
      </w:r>
    </w:p>
    <w:p>
      <w:pPr>
        <w:spacing w:after="0" w:line="480" w:lineRule="auto"/>
        <w:jc w:val="right"/>
        <w:rPr>
          <w:rFonts w:ascii="宋体" w:hAnsi="宋体" w:eastAsia="宋体" w:cs="宋体"/>
          <w:color w:val="auto"/>
          <w:sz w:val="21"/>
          <w:szCs w:val="21"/>
        </w:rPr>
      </w:pPr>
      <w:r>
        <w:rPr>
          <w:rFonts w:hint="eastAsia" w:ascii="宋体" w:hAnsi="宋体" w:eastAsia="宋体" w:cs="宋体"/>
          <w:color w:val="auto"/>
          <w:sz w:val="21"/>
          <w:szCs w:val="21"/>
        </w:rPr>
        <w:t>保证人：（公章）</w:t>
      </w:r>
    </w:p>
    <w:p>
      <w:pPr>
        <w:spacing w:after="0" w:line="480" w:lineRule="auto"/>
        <w:jc w:val="right"/>
        <w:rPr>
          <w:rFonts w:ascii="宋体" w:hAnsi="宋体" w:eastAsia="宋体" w:cs="宋体"/>
          <w:color w:val="auto"/>
          <w:sz w:val="21"/>
          <w:szCs w:val="21"/>
        </w:rPr>
      </w:pPr>
      <w:r>
        <w:rPr>
          <w:rFonts w:hint="eastAsia" w:ascii="宋体" w:hAnsi="宋体" w:eastAsia="宋体" w:cs="宋体"/>
          <w:color w:val="auto"/>
          <w:sz w:val="21"/>
          <w:szCs w:val="21"/>
        </w:rPr>
        <w:t>年     月      日</w:t>
      </w:r>
    </w:p>
    <w:p>
      <w:pPr>
        <w:spacing w:after="0"/>
        <w:rPr>
          <w:rFonts w:ascii="宋体" w:hAnsi="宋体" w:eastAsia="宋体"/>
          <w:color w:val="auto"/>
          <w:sz w:val="21"/>
          <w:szCs w:val="21"/>
        </w:rPr>
      </w:pPr>
      <w:r>
        <w:rPr>
          <w:rFonts w:hint="eastAsia" w:ascii="宋体" w:hAnsi="宋体" w:eastAsia="宋体"/>
          <w:color w:val="auto"/>
          <w:sz w:val="21"/>
          <w:szCs w:val="21"/>
        </w:rPr>
        <w:t>注：</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（1）此格式为履约担保函格式，无需在投标文件中提供此格式。</w:t>
      </w:r>
    </w:p>
    <w:p>
      <w:pPr>
        <w:pStyle w:val="2"/>
        <w:rPr>
          <w:color w:val="auto"/>
        </w:rPr>
      </w:pPr>
    </w:p>
    <w:p>
      <w:pPr>
        <w:pStyle w:val="4"/>
        <w:spacing w:before="0" w:after="0" w:line="240" w:lineRule="auto"/>
        <w:jc w:val="center"/>
        <w:rPr>
          <w:rFonts w:ascii="宋体" w:hAnsi="宋体" w:eastAsia="宋体" w:cs="宋体"/>
          <w:color w:val="auto"/>
          <w:sz w:val="21"/>
          <w:szCs w:val="21"/>
        </w:rPr>
      </w:pPr>
      <w:r>
        <w:rPr>
          <w:rFonts w:ascii="宋体" w:hAnsi="宋体" w:eastAsia="宋体" w:cs="宋体"/>
          <w:color w:val="auto"/>
          <w:sz w:val="21"/>
          <w:szCs w:val="21"/>
        </w:rPr>
        <w:br w:type="page"/>
      </w:r>
    </w:p>
    <w:p>
      <w:pPr>
        <w:pStyle w:val="6"/>
        <w:spacing w:before="0" w:after="0" w:line="240" w:lineRule="auto"/>
        <w:rPr>
          <w:rFonts w:ascii="宋体" w:hAnsi="宋体" w:eastAsia="宋体" w:cs="宋体"/>
          <w:color w:val="auto"/>
          <w:sz w:val="21"/>
          <w:szCs w:val="21"/>
        </w:rPr>
      </w:pPr>
      <w:bookmarkStart w:id="267" w:name="_Toc17023"/>
      <w:r>
        <w:rPr>
          <w:rFonts w:hint="eastAsia" w:ascii="宋体" w:hAnsi="宋体" w:eastAsia="宋体" w:cs="宋体"/>
          <w:color w:val="auto"/>
          <w:sz w:val="21"/>
          <w:szCs w:val="21"/>
        </w:rPr>
        <w:t>附件23.获取招标文件登记表</w:t>
      </w:r>
      <w:bookmarkEnd w:id="267"/>
    </w:p>
    <w:p>
      <w:pPr>
        <w:pStyle w:val="4"/>
        <w:spacing w:before="0" w:after="0" w:line="240" w:lineRule="auto"/>
        <w:jc w:val="center"/>
        <w:rPr>
          <w:rFonts w:ascii="黑体" w:hAnsi="宋体"/>
          <w:color w:val="auto"/>
          <w:sz w:val="44"/>
          <w:szCs w:val="44"/>
        </w:rPr>
      </w:pPr>
      <w:bookmarkStart w:id="268" w:name="_Toc1968"/>
    </w:p>
    <w:p>
      <w:pPr>
        <w:spacing w:after="0"/>
        <w:jc w:val="center"/>
        <w:rPr>
          <w:rFonts w:ascii="黑体" w:hAnsi="黑体" w:eastAsia="黑体" w:cs="黑体"/>
          <w:color w:val="auto"/>
          <w:sz w:val="36"/>
          <w:szCs w:val="36"/>
        </w:rPr>
      </w:pPr>
      <w:r>
        <w:rPr>
          <w:rFonts w:hint="eastAsia" w:ascii="黑体" w:hAnsi="黑体" w:eastAsia="黑体" w:cs="黑体"/>
          <w:color w:val="auto"/>
          <w:sz w:val="36"/>
          <w:szCs w:val="36"/>
        </w:rPr>
        <w:t>获取招标文件登记表</w:t>
      </w:r>
      <w:bookmarkEnd w:id="268"/>
    </w:p>
    <w:tbl>
      <w:tblPr>
        <w:tblStyle w:val="17"/>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30"/>
        <w:gridCol w:w="5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获取招标文件时间</w:t>
            </w:r>
          </w:p>
        </w:tc>
        <w:tc>
          <w:tcPr>
            <w:tcW w:w="5898"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2019年    月    日    时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拟投标项目名称</w:t>
            </w:r>
          </w:p>
        </w:tc>
        <w:tc>
          <w:tcPr>
            <w:tcW w:w="5898"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项目编号</w:t>
            </w:r>
          </w:p>
        </w:tc>
        <w:tc>
          <w:tcPr>
            <w:tcW w:w="5898" w:type="dxa"/>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供应商全称</w:t>
            </w:r>
          </w:p>
        </w:tc>
        <w:tc>
          <w:tcPr>
            <w:tcW w:w="5898" w:type="dxa"/>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供应商联系人</w:t>
            </w:r>
          </w:p>
        </w:tc>
        <w:tc>
          <w:tcPr>
            <w:tcW w:w="5898" w:type="dxa"/>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电话</w:t>
            </w:r>
          </w:p>
        </w:tc>
        <w:tc>
          <w:tcPr>
            <w:tcW w:w="5898"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drawing>
                <wp:anchor distT="0" distB="0" distL="114300" distR="114300" simplePos="0" relativeHeight="251658240" behindDoc="1" locked="0" layoutInCell="1" allowOverlap="1">
                  <wp:simplePos x="0" y="0"/>
                  <wp:positionH relativeFrom="column">
                    <wp:posOffset>485775</wp:posOffset>
                  </wp:positionH>
                  <wp:positionV relativeFrom="paragraph">
                    <wp:posOffset>22225</wp:posOffset>
                  </wp:positionV>
                  <wp:extent cx="1504950" cy="1409700"/>
                  <wp:effectExtent l="0" t="0" r="0" b="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1504950" cy="1409700"/>
                          </a:xfrm>
                          <a:prstGeom prst="rect">
                            <a:avLst/>
                          </a:prstGeom>
                          <a:noFill/>
                          <a:ln>
                            <a:noFill/>
                          </a:ln>
                        </pic:spPr>
                      </pic:pic>
                    </a:graphicData>
                  </a:graphic>
                </wp:anchor>
              </w:drawing>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手机</w:t>
            </w:r>
          </w:p>
        </w:tc>
        <w:tc>
          <w:tcPr>
            <w:tcW w:w="5898" w:type="dxa"/>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传真</w:t>
            </w:r>
          </w:p>
        </w:tc>
        <w:tc>
          <w:tcPr>
            <w:tcW w:w="5898" w:type="dxa"/>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电子邮箱</w:t>
            </w:r>
          </w:p>
        </w:tc>
        <w:tc>
          <w:tcPr>
            <w:tcW w:w="5898" w:type="dxa"/>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单位地址及邮编</w:t>
            </w:r>
          </w:p>
        </w:tc>
        <w:tc>
          <w:tcPr>
            <w:tcW w:w="5898" w:type="dxa"/>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备注</w:t>
            </w:r>
          </w:p>
        </w:tc>
        <w:tc>
          <w:tcPr>
            <w:tcW w:w="5898" w:type="dxa"/>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招标文件领取人签名</w:t>
            </w:r>
          </w:p>
        </w:tc>
        <w:tc>
          <w:tcPr>
            <w:tcW w:w="5898" w:type="dxa"/>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招标文件发售人签名</w:t>
            </w:r>
          </w:p>
        </w:tc>
        <w:tc>
          <w:tcPr>
            <w:tcW w:w="5898" w:type="dxa"/>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招标文件售价</w:t>
            </w:r>
          </w:p>
        </w:tc>
        <w:tc>
          <w:tcPr>
            <w:tcW w:w="5898"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人民币150元/份</w:t>
            </w:r>
          </w:p>
        </w:tc>
      </w:tr>
    </w:tbl>
    <w:p>
      <w:pPr>
        <w:rPr>
          <w:rFonts w:ascii="宋体" w:hAnsi="宋体" w:eastAsia="宋体" w:cs="宋体"/>
          <w:color w:val="auto"/>
          <w:sz w:val="21"/>
          <w:szCs w:val="21"/>
        </w:rPr>
      </w:pPr>
    </w:p>
    <w:p>
      <w:pPr>
        <w:rPr>
          <w:color w:val="auto"/>
        </w:rPr>
      </w:pPr>
      <w:r>
        <w:rPr>
          <w:color w:val="auto"/>
        </w:rPr>
        <w:br w:type="page"/>
      </w:r>
    </w:p>
    <w:p>
      <w:pPr>
        <w:pStyle w:val="6"/>
        <w:spacing w:before="0" w:after="0" w:line="240" w:lineRule="auto"/>
        <w:rPr>
          <w:rFonts w:ascii="宋体" w:hAnsi="宋体" w:eastAsia="宋体" w:cs="宋体"/>
          <w:color w:val="auto"/>
          <w:sz w:val="21"/>
          <w:szCs w:val="21"/>
        </w:rPr>
      </w:pPr>
      <w:bookmarkStart w:id="269" w:name="_Toc11182"/>
      <w:r>
        <w:rPr>
          <w:rFonts w:hint="eastAsia" w:ascii="宋体" w:hAnsi="宋体" w:eastAsia="宋体" w:cs="宋体"/>
          <w:color w:val="auto"/>
          <w:sz w:val="21"/>
          <w:szCs w:val="21"/>
        </w:rPr>
        <w:t>附件 24.质疑函范本</w:t>
      </w:r>
      <w:bookmarkEnd w:id="269"/>
      <w:r>
        <w:rPr>
          <w:rFonts w:hint="eastAsia" w:ascii="宋体" w:hAnsi="宋体" w:eastAsia="宋体" w:cs="宋体"/>
          <w:color w:val="auto"/>
          <w:sz w:val="21"/>
          <w:szCs w:val="21"/>
        </w:rPr>
        <w:t>（进行质疑时提供，否则可忽略）</w:t>
      </w:r>
    </w:p>
    <w:p>
      <w:pPr>
        <w:spacing w:after="0" w:line="360" w:lineRule="auto"/>
        <w:jc w:val="center"/>
        <w:rPr>
          <w:rFonts w:ascii="宋体" w:hAnsi="宋体" w:eastAsia="宋体" w:cs="宋体"/>
          <w:color w:val="auto"/>
          <w:sz w:val="21"/>
          <w:szCs w:val="21"/>
        </w:rPr>
      </w:pPr>
    </w:p>
    <w:p>
      <w:pPr>
        <w:spacing w:after="0"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1.质疑函</w:t>
      </w:r>
    </w:p>
    <w:p>
      <w:pPr>
        <w:spacing w:after="0" w:line="360" w:lineRule="auto"/>
        <w:rPr>
          <w:rFonts w:ascii="宋体" w:hAnsi="宋体" w:eastAsia="宋体" w:cs="宋体"/>
          <w:color w:val="auto"/>
          <w:sz w:val="21"/>
          <w:szCs w:val="21"/>
        </w:rPr>
      </w:pPr>
      <w:r>
        <w:rPr>
          <w:rFonts w:hint="eastAsia" w:ascii="宋体" w:hAnsi="宋体" w:eastAsia="宋体" w:cs="宋体"/>
          <w:color w:val="auto"/>
          <w:sz w:val="21"/>
          <w:szCs w:val="21"/>
        </w:rPr>
        <w:t>一、质疑供应商基本信息</w:t>
      </w:r>
    </w:p>
    <w:p>
      <w:pPr>
        <w:spacing w:after="0"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质疑供应商：</w:t>
      </w:r>
      <w:r>
        <w:rPr>
          <w:rFonts w:hint="eastAsia" w:ascii="宋体" w:hAnsi="宋体" w:eastAsia="宋体" w:cs="宋体"/>
          <w:color w:val="auto"/>
          <w:sz w:val="21"/>
          <w:szCs w:val="21"/>
          <w:u w:val="single"/>
        </w:rPr>
        <w:t xml:space="preserve">                                        </w:t>
      </w:r>
    </w:p>
    <w:p>
      <w:pPr>
        <w:spacing w:after="0"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邮编：</w:t>
      </w:r>
      <w:r>
        <w:rPr>
          <w:rFonts w:hint="eastAsia" w:ascii="宋体" w:hAnsi="宋体" w:eastAsia="宋体" w:cs="宋体"/>
          <w:color w:val="auto"/>
          <w:sz w:val="21"/>
          <w:szCs w:val="21"/>
          <w:u w:val="single"/>
        </w:rPr>
        <w:t xml:space="preserve">                </w:t>
      </w:r>
    </w:p>
    <w:p>
      <w:pPr>
        <w:spacing w:after="0"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联系人：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p>
    <w:p>
      <w:pPr>
        <w:spacing w:after="0"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授权代表：</w:t>
      </w:r>
      <w:r>
        <w:rPr>
          <w:rFonts w:hint="eastAsia" w:ascii="宋体" w:hAnsi="宋体" w:eastAsia="宋体" w:cs="宋体"/>
          <w:color w:val="auto"/>
          <w:sz w:val="21"/>
          <w:szCs w:val="21"/>
          <w:u w:val="single"/>
        </w:rPr>
        <w:t xml:space="preserve">                                          </w:t>
      </w:r>
    </w:p>
    <w:p>
      <w:pPr>
        <w:spacing w:after="0"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p>
    <w:p>
      <w:pPr>
        <w:spacing w:after="0" w:line="360" w:lineRule="auto"/>
        <w:rPr>
          <w:rFonts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邮编：</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spacing w:after="0" w:line="360" w:lineRule="auto"/>
        <w:rPr>
          <w:rFonts w:ascii="宋体" w:hAnsi="宋体" w:eastAsia="宋体" w:cs="宋体"/>
          <w:color w:val="auto"/>
          <w:sz w:val="21"/>
          <w:szCs w:val="21"/>
        </w:rPr>
      </w:pPr>
      <w:r>
        <w:rPr>
          <w:rFonts w:hint="eastAsia" w:ascii="宋体" w:hAnsi="宋体" w:eastAsia="宋体" w:cs="宋体"/>
          <w:color w:val="auto"/>
          <w:sz w:val="21"/>
          <w:szCs w:val="21"/>
        </w:rPr>
        <w:t>二、质疑项目基本情况</w:t>
      </w:r>
    </w:p>
    <w:p>
      <w:pPr>
        <w:spacing w:after="0"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质疑项目的名称：</w:t>
      </w:r>
      <w:r>
        <w:rPr>
          <w:rFonts w:hint="eastAsia" w:ascii="宋体" w:hAnsi="宋体" w:eastAsia="宋体" w:cs="宋体"/>
          <w:color w:val="auto"/>
          <w:sz w:val="21"/>
          <w:szCs w:val="21"/>
          <w:u w:val="single"/>
        </w:rPr>
        <w:t xml:space="preserve">                                      </w:t>
      </w:r>
    </w:p>
    <w:p>
      <w:pPr>
        <w:spacing w:after="0"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质疑项目的编号：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包号：</w:t>
      </w:r>
      <w:r>
        <w:rPr>
          <w:rFonts w:hint="eastAsia" w:ascii="宋体" w:hAnsi="宋体" w:eastAsia="宋体" w:cs="宋体"/>
          <w:color w:val="auto"/>
          <w:sz w:val="21"/>
          <w:szCs w:val="21"/>
          <w:u w:val="single"/>
        </w:rPr>
        <w:t xml:space="preserve">                 </w:t>
      </w:r>
    </w:p>
    <w:p>
      <w:pPr>
        <w:spacing w:after="0"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采购人名称：</w:t>
      </w:r>
      <w:r>
        <w:rPr>
          <w:rFonts w:hint="eastAsia" w:ascii="宋体" w:hAnsi="宋体" w:eastAsia="宋体" w:cs="宋体"/>
          <w:color w:val="auto"/>
          <w:sz w:val="21"/>
          <w:szCs w:val="21"/>
          <w:u w:val="single"/>
        </w:rPr>
        <w:t xml:space="preserve">                                         </w:t>
      </w:r>
    </w:p>
    <w:p>
      <w:pPr>
        <w:spacing w:after="0"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采购文件获取日期：</w:t>
      </w:r>
      <w:r>
        <w:rPr>
          <w:rFonts w:hint="eastAsia" w:ascii="宋体" w:hAnsi="宋体" w:eastAsia="宋体" w:cs="宋体"/>
          <w:color w:val="auto"/>
          <w:sz w:val="21"/>
          <w:szCs w:val="21"/>
          <w:u w:val="single"/>
        </w:rPr>
        <w:t xml:space="preserve">                                   </w:t>
      </w:r>
    </w:p>
    <w:p>
      <w:pPr>
        <w:spacing w:after="0" w:line="360" w:lineRule="auto"/>
        <w:rPr>
          <w:rFonts w:ascii="宋体" w:hAnsi="宋体" w:eastAsia="宋体" w:cs="宋体"/>
          <w:color w:val="auto"/>
          <w:sz w:val="21"/>
          <w:szCs w:val="21"/>
        </w:rPr>
      </w:pPr>
      <w:r>
        <w:rPr>
          <w:rFonts w:hint="eastAsia" w:ascii="宋体" w:hAnsi="宋体" w:eastAsia="宋体" w:cs="宋体"/>
          <w:color w:val="auto"/>
          <w:sz w:val="21"/>
          <w:szCs w:val="21"/>
        </w:rPr>
        <w:t>三、质疑事项具体内容</w:t>
      </w:r>
    </w:p>
    <w:p>
      <w:pPr>
        <w:spacing w:after="0"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质疑事项1：</w:t>
      </w:r>
      <w:r>
        <w:rPr>
          <w:rFonts w:hint="eastAsia" w:ascii="宋体" w:hAnsi="宋体" w:eastAsia="宋体" w:cs="宋体"/>
          <w:color w:val="auto"/>
          <w:sz w:val="21"/>
          <w:szCs w:val="21"/>
          <w:u w:val="single"/>
        </w:rPr>
        <w:t xml:space="preserve">                                         </w:t>
      </w:r>
    </w:p>
    <w:p>
      <w:pPr>
        <w:spacing w:after="0"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事实依据：</w:t>
      </w:r>
      <w:r>
        <w:rPr>
          <w:rFonts w:hint="eastAsia" w:ascii="宋体" w:hAnsi="宋体" w:eastAsia="宋体" w:cs="宋体"/>
          <w:color w:val="auto"/>
          <w:sz w:val="21"/>
          <w:szCs w:val="21"/>
          <w:u w:val="single"/>
        </w:rPr>
        <w:t xml:space="preserve">                                          </w:t>
      </w:r>
    </w:p>
    <w:p>
      <w:pPr>
        <w:spacing w:after="0" w:line="360" w:lineRule="auto"/>
        <w:rPr>
          <w:rFonts w:ascii="宋体" w:hAnsi="宋体" w:eastAsia="宋体" w:cs="宋体"/>
          <w:color w:val="auto"/>
          <w:sz w:val="21"/>
          <w:szCs w:val="21"/>
          <w:u w:val="single"/>
        </w:rPr>
      </w:pPr>
      <w:r>
        <w:rPr>
          <w:rFonts w:hint="eastAsia" w:ascii="宋体" w:hAnsi="宋体" w:eastAsia="宋体" w:cs="宋体"/>
          <w:color w:val="auto"/>
          <w:sz w:val="21"/>
          <w:szCs w:val="21"/>
          <w:u w:val="single"/>
        </w:rPr>
        <w:t xml:space="preserve">                                                    </w:t>
      </w:r>
    </w:p>
    <w:p>
      <w:pPr>
        <w:spacing w:after="0"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法律依据：</w:t>
      </w:r>
      <w:r>
        <w:rPr>
          <w:rFonts w:hint="eastAsia" w:ascii="宋体" w:hAnsi="宋体" w:eastAsia="宋体" w:cs="宋体"/>
          <w:color w:val="auto"/>
          <w:sz w:val="21"/>
          <w:szCs w:val="21"/>
          <w:u w:val="single"/>
        </w:rPr>
        <w:t xml:space="preserve">                                          </w:t>
      </w:r>
    </w:p>
    <w:p>
      <w:pPr>
        <w:spacing w:after="0" w:line="360" w:lineRule="auto"/>
        <w:rPr>
          <w:rFonts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spacing w:after="0" w:line="360" w:lineRule="auto"/>
        <w:rPr>
          <w:rFonts w:ascii="宋体" w:hAnsi="宋体" w:eastAsia="宋体" w:cs="宋体"/>
          <w:color w:val="auto"/>
          <w:sz w:val="21"/>
          <w:szCs w:val="21"/>
        </w:rPr>
      </w:pPr>
      <w:r>
        <w:rPr>
          <w:rFonts w:hint="eastAsia" w:ascii="宋体" w:hAnsi="宋体" w:eastAsia="宋体" w:cs="宋体"/>
          <w:color w:val="auto"/>
          <w:sz w:val="21"/>
          <w:szCs w:val="21"/>
        </w:rPr>
        <w:t>质疑事项2</w:t>
      </w:r>
    </w:p>
    <w:p>
      <w:pPr>
        <w:spacing w:after="0" w:line="360" w:lineRule="auto"/>
        <w:rPr>
          <w:rFonts w:ascii="宋体" w:hAnsi="宋体" w:eastAsia="宋体" w:cs="宋体"/>
          <w:color w:val="auto"/>
          <w:sz w:val="21"/>
          <w:szCs w:val="21"/>
        </w:rPr>
      </w:pPr>
      <w:r>
        <w:rPr>
          <w:rFonts w:hint="eastAsia" w:ascii="宋体" w:hAnsi="宋体" w:eastAsia="宋体" w:cs="宋体"/>
          <w:color w:val="auto"/>
          <w:sz w:val="21"/>
          <w:szCs w:val="21"/>
        </w:rPr>
        <w:t>……</w:t>
      </w:r>
    </w:p>
    <w:p>
      <w:pPr>
        <w:spacing w:after="0" w:line="360" w:lineRule="auto"/>
        <w:rPr>
          <w:rFonts w:ascii="宋体" w:hAnsi="宋体" w:eastAsia="宋体" w:cs="宋体"/>
          <w:color w:val="auto"/>
          <w:sz w:val="21"/>
          <w:szCs w:val="21"/>
        </w:rPr>
      </w:pPr>
      <w:r>
        <w:rPr>
          <w:rFonts w:hint="eastAsia" w:ascii="宋体" w:hAnsi="宋体" w:eastAsia="宋体" w:cs="宋体"/>
          <w:color w:val="auto"/>
          <w:sz w:val="21"/>
          <w:szCs w:val="21"/>
        </w:rPr>
        <w:t>四、与质疑事项相关的质疑请求</w:t>
      </w:r>
    </w:p>
    <w:p>
      <w:pPr>
        <w:spacing w:after="0"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请求：</w:t>
      </w:r>
      <w:r>
        <w:rPr>
          <w:rFonts w:hint="eastAsia" w:ascii="宋体" w:hAnsi="宋体" w:eastAsia="宋体" w:cs="宋体"/>
          <w:color w:val="auto"/>
          <w:sz w:val="21"/>
          <w:szCs w:val="21"/>
          <w:u w:val="single"/>
        </w:rPr>
        <w:t xml:space="preserve">                                               </w:t>
      </w:r>
    </w:p>
    <w:p>
      <w:pPr>
        <w:spacing w:after="0" w:line="360" w:lineRule="auto"/>
        <w:rPr>
          <w:rFonts w:ascii="宋体" w:hAnsi="宋体" w:eastAsia="宋体" w:cs="宋体"/>
          <w:color w:val="auto"/>
          <w:sz w:val="21"/>
          <w:szCs w:val="21"/>
        </w:rPr>
      </w:pPr>
      <w:r>
        <w:rPr>
          <w:rFonts w:hint="eastAsia" w:ascii="宋体" w:hAnsi="宋体" w:eastAsia="宋体" w:cs="宋体"/>
          <w:color w:val="auto"/>
          <w:sz w:val="21"/>
          <w:szCs w:val="21"/>
        </w:rPr>
        <w:t xml:space="preserve">签字(签章)：                   公章：                      </w:t>
      </w:r>
    </w:p>
    <w:p>
      <w:pPr>
        <w:spacing w:after="0" w:line="360" w:lineRule="auto"/>
        <w:rPr>
          <w:rFonts w:ascii="宋体" w:hAnsi="宋体" w:eastAsia="宋体" w:cs="宋体"/>
          <w:color w:val="auto"/>
          <w:sz w:val="21"/>
          <w:szCs w:val="21"/>
        </w:rPr>
      </w:pPr>
      <w:r>
        <w:rPr>
          <w:rFonts w:hint="eastAsia" w:ascii="宋体" w:hAnsi="宋体" w:eastAsia="宋体" w:cs="宋体"/>
          <w:color w:val="auto"/>
          <w:sz w:val="21"/>
          <w:szCs w:val="21"/>
        </w:rPr>
        <w:t xml:space="preserve">日期：    </w:t>
      </w:r>
    </w:p>
    <w:p>
      <w:pPr>
        <w:spacing w:after="0" w:line="360" w:lineRule="auto"/>
        <w:rPr>
          <w:rFonts w:ascii="宋体" w:hAnsi="宋体" w:eastAsia="宋体" w:cs="宋体"/>
          <w:color w:val="auto"/>
          <w:sz w:val="21"/>
          <w:szCs w:val="21"/>
        </w:rPr>
      </w:pPr>
    </w:p>
    <w:p>
      <w:pPr>
        <w:spacing w:after="0" w:line="360" w:lineRule="auto"/>
        <w:rPr>
          <w:rFonts w:ascii="宋体" w:hAnsi="宋体" w:eastAsia="宋体" w:cs="宋体"/>
          <w:color w:val="auto"/>
          <w:sz w:val="21"/>
          <w:szCs w:val="21"/>
        </w:rPr>
      </w:pPr>
    </w:p>
    <w:p>
      <w:pPr>
        <w:spacing w:after="0" w:line="360" w:lineRule="auto"/>
        <w:rPr>
          <w:rFonts w:ascii="宋体" w:hAnsi="宋体" w:eastAsia="宋体" w:cs="宋体"/>
          <w:color w:val="auto"/>
          <w:sz w:val="21"/>
          <w:szCs w:val="21"/>
        </w:rPr>
      </w:pPr>
    </w:p>
    <w:p>
      <w:pPr>
        <w:spacing w:after="0" w:line="360" w:lineRule="auto"/>
        <w:rPr>
          <w:rFonts w:ascii="宋体" w:hAnsi="宋体" w:eastAsia="宋体" w:cs="宋体"/>
          <w:color w:val="auto"/>
          <w:sz w:val="21"/>
          <w:szCs w:val="21"/>
        </w:rPr>
      </w:pPr>
    </w:p>
    <w:p>
      <w:pPr>
        <w:spacing w:after="0" w:line="360" w:lineRule="auto"/>
        <w:rPr>
          <w:rFonts w:ascii="宋体" w:hAnsi="宋体" w:eastAsia="宋体" w:cs="宋体"/>
          <w:color w:val="auto"/>
          <w:sz w:val="21"/>
          <w:szCs w:val="21"/>
        </w:rPr>
      </w:pPr>
      <w:r>
        <w:rPr>
          <w:rFonts w:hint="eastAsia" w:ascii="宋体" w:hAnsi="宋体" w:eastAsia="宋体" w:cs="宋体"/>
          <w:color w:val="auto"/>
          <w:sz w:val="21"/>
          <w:szCs w:val="21"/>
        </w:rPr>
        <w:t>质疑函制作说明：</w:t>
      </w:r>
    </w:p>
    <w:p>
      <w:pPr>
        <w:spacing w:after="0" w:line="360" w:lineRule="auto"/>
        <w:rPr>
          <w:rFonts w:ascii="宋体" w:hAnsi="宋体" w:eastAsia="宋体" w:cs="宋体"/>
          <w:color w:val="auto"/>
          <w:sz w:val="21"/>
          <w:szCs w:val="21"/>
        </w:rPr>
      </w:pPr>
      <w:r>
        <w:rPr>
          <w:rFonts w:hint="eastAsia" w:ascii="宋体" w:hAnsi="宋体" w:eastAsia="宋体" w:cs="宋体"/>
          <w:color w:val="auto"/>
          <w:sz w:val="21"/>
          <w:szCs w:val="21"/>
        </w:rPr>
        <w:t>1.供应商提出质疑时，应提交质疑函和必要的证明材料，并在规定时限内提交，逾期将不再受理。</w:t>
      </w:r>
    </w:p>
    <w:p>
      <w:pPr>
        <w:spacing w:after="0" w:line="360" w:lineRule="auto"/>
        <w:rPr>
          <w:rFonts w:ascii="宋体" w:hAnsi="宋体" w:eastAsia="宋体" w:cs="宋体"/>
          <w:color w:val="auto"/>
          <w:sz w:val="21"/>
          <w:szCs w:val="21"/>
        </w:rPr>
      </w:pPr>
      <w:r>
        <w:rPr>
          <w:rFonts w:hint="eastAsia" w:ascii="宋体" w:hAnsi="宋体" w:eastAsia="宋体" w:cs="宋体"/>
          <w:color w:val="auto"/>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after="0" w:line="360" w:lineRule="auto"/>
        <w:rPr>
          <w:rFonts w:ascii="宋体" w:hAnsi="宋体" w:eastAsia="宋体" w:cs="宋体"/>
          <w:color w:val="auto"/>
          <w:sz w:val="21"/>
          <w:szCs w:val="21"/>
        </w:rPr>
      </w:pPr>
      <w:r>
        <w:rPr>
          <w:rFonts w:hint="eastAsia" w:ascii="宋体" w:hAnsi="宋体" w:eastAsia="宋体" w:cs="宋体"/>
          <w:color w:val="auto"/>
          <w:sz w:val="21"/>
          <w:szCs w:val="21"/>
        </w:rPr>
        <w:t>3.质疑供应商若对项目的某一分包进行质疑，质疑函中应列明具体分包号。</w:t>
      </w:r>
    </w:p>
    <w:p>
      <w:pPr>
        <w:spacing w:after="0" w:line="360" w:lineRule="auto"/>
        <w:rPr>
          <w:rFonts w:ascii="宋体" w:hAnsi="宋体" w:eastAsia="宋体" w:cs="宋体"/>
          <w:color w:val="auto"/>
          <w:sz w:val="21"/>
          <w:szCs w:val="21"/>
        </w:rPr>
      </w:pPr>
      <w:r>
        <w:rPr>
          <w:rFonts w:hint="eastAsia" w:ascii="宋体" w:hAnsi="宋体" w:eastAsia="宋体" w:cs="宋体"/>
          <w:color w:val="auto"/>
          <w:sz w:val="21"/>
          <w:szCs w:val="21"/>
        </w:rPr>
        <w:t>4.质疑函的质疑事项应具体、明确，并有必要的事实依据和法律依据。</w:t>
      </w:r>
    </w:p>
    <w:p>
      <w:pPr>
        <w:spacing w:after="0" w:line="360" w:lineRule="auto"/>
        <w:rPr>
          <w:rFonts w:ascii="宋体" w:hAnsi="宋体" w:eastAsia="宋体" w:cs="宋体"/>
          <w:color w:val="auto"/>
          <w:sz w:val="21"/>
          <w:szCs w:val="21"/>
        </w:rPr>
      </w:pPr>
      <w:r>
        <w:rPr>
          <w:rFonts w:hint="eastAsia" w:ascii="宋体" w:hAnsi="宋体" w:eastAsia="宋体" w:cs="宋体"/>
          <w:color w:val="auto"/>
          <w:sz w:val="21"/>
          <w:szCs w:val="21"/>
        </w:rPr>
        <w:t>5.质疑函的质疑请求应与质疑事项相关。</w:t>
      </w:r>
    </w:p>
    <w:p>
      <w:pPr>
        <w:spacing w:after="0" w:line="360" w:lineRule="auto"/>
        <w:rPr>
          <w:rFonts w:ascii="宋体" w:hAnsi="宋体" w:eastAsia="宋体" w:cs="宋体"/>
          <w:color w:val="auto"/>
          <w:sz w:val="21"/>
          <w:szCs w:val="21"/>
        </w:rPr>
      </w:pPr>
      <w:r>
        <w:rPr>
          <w:rFonts w:hint="eastAsia" w:ascii="宋体" w:hAnsi="宋体" w:eastAsia="宋体" w:cs="宋体"/>
          <w:color w:val="auto"/>
          <w:sz w:val="21"/>
          <w:szCs w:val="21"/>
        </w:rPr>
        <w:t>6.质疑供应商为自然人的，质疑函应由本人签字；质疑供应商为法人或者其他组织的，质疑函应由法定代表人、主要负责人，或者其授权代表签字或者盖章，并加盖公章。</w:t>
      </w:r>
    </w:p>
    <w:p>
      <w:pPr>
        <w:spacing w:after="0" w:line="360" w:lineRule="auto"/>
        <w:rPr>
          <w:rFonts w:ascii="宋体" w:hAnsi="宋体" w:eastAsia="宋体" w:cs="宋体"/>
          <w:color w:val="auto"/>
          <w:sz w:val="21"/>
          <w:szCs w:val="21"/>
        </w:rPr>
      </w:pPr>
      <w:r>
        <w:rPr>
          <w:rFonts w:hint="eastAsia" w:ascii="宋体" w:hAnsi="宋体" w:eastAsia="宋体" w:cs="宋体"/>
          <w:color w:val="auto"/>
          <w:sz w:val="21"/>
          <w:szCs w:val="21"/>
        </w:rPr>
        <w:t>7.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pPr>
        <w:spacing w:after="0" w:line="360" w:lineRule="auto"/>
        <w:rPr>
          <w:rFonts w:ascii="宋体" w:hAnsi="宋体" w:eastAsia="宋体" w:cs="宋体"/>
          <w:color w:val="auto"/>
          <w:sz w:val="21"/>
          <w:szCs w:val="21"/>
        </w:rPr>
      </w:pPr>
      <w:r>
        <w:rPr>
          <w:rFonts w:hint="eastAsia" w:ascii="宋体" w:hAnsi="宋体" w:eastAsia="宋体" w:cs="宋体"/>
          <w:color w:val="auto"/>
          <w:sz w:val="21"/>
          <w:szCs w:val="21"/>
        </w:rPr>
        <w:t>8.质疑函递交地址为采购代理机构办公地址，详细地址详见投标邀请书。</w:t>
      </w:r>
    </w:p>
    <w:p>
      <w:pPr>
        <w:pStyle w:val="2"/>
        <w:rPr>
          <w:color w:val="auto"/>
        </w:rPr>
      </w:pPr>
    </w:p>
    <w:p>
      <w:pPr>
        <w:spacing w:after="0" w:line="360" w:lineRule="auto"/>
        <w:rPr>
          <w:rFonts w:ascii="宋体" w:hAnsi="宋体" w:eastAsia="宋体" w:cs="宋体"/>
          <w:color w:val="auto"/>
          <w:sz w:val="21"/>
          <w:szCs w:val="21"/>
        </w:rPr>
      </w:pPr>
      <w:r>
        <w:rPr>
          <w:rFonts w:hint="eastAsia" w:ascii="宋体" w:hAnsi="宋体" w:eastAsia="宋体" w:cs="宋体"/>
          <w:color w:val="auto"/>
          <w:sz w:val="21"/>
          <w:szCs w:val="21"/>
        </w:rPr>
        <w:br w:type="page"/>
      </w:r>
      <w:r>
        <w:rPr>
          <w:rFonts w:hint="eastAsia" w:ascii="宋体" w:hAnsi="宋体" w:eastAsia="宋体" w:cs="宋体"/>
          <w:color w:val="auto"/>
          <w:sz w:val="21"/>
          <w:szCs w:val="21"/>
        </w:rPr>
        <w:t>2.询问函、质疑函授权书参考格式（进行质疑时提供，否则可忽略）</w:t>
      </w:r>
    </w:p>
    <w:p>
      <w:pPr>
        <w:spacing w:after="0" w:line="360" w:lineRule="auto"/>
        <w:rPr>
          <w:rFonts w:ascii="宋体" w:hAnsi="宋体" w:eastAsia="宋体" w:cs="宋体"/>
          <w:color w:val="auto"/>
          <w:sz w:val="21"/>
          <w:szCs w:val="21"/>
        </w:rPr>
      </w:pPr>
    </w:p>
    <w:p>
      <w:pPr>
        <w:spacing w:after="0"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法定代表人或负责人授权委托书</w:t>
      </w:r>
    </w:p>
    <w:p>
      <w:pPr>
        <w:spacing w:after="0" w:line="360" w:lineRule="auto"/>
        <w:rPr>
          <w:rFonts w:ascii="宋体" w:hAnsi="宋体" w:eastAsia="宋体" w:cs="宋体"/>
          <w:color w:val="auto"/>
          <w:sz w:val="21"/>
          <w:szCs w:val="21"/>
        </w:rPr>
      </w:pPr>
    </w:p>
    <w:p>
      <w:pPr>
        <w:spacing w:after="0" w:line="360" w:lineRule="auto"/>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本委托书声明：在下面签字的</w:t>
      </w:r>
      <w:r>
        <w:rPr>
          <w:rFonts w:hint="eastAsia" w:ascii="宋体" w:hAnsi="宋体" w:eastAsia="宋体" w:cs="宋体"/>
          <w:color w:val="auto"/>
          <w:sz w:val="21"/>
          <w:szCs w:val="21"/>
          <w:u w:val="single"/>
        </w:rPr>
        <w:t xml:space="preserve">           （法定代表人或负责人姓名、职务）</w:t>
      </w:r>
      <w:r>
        <w:rPr>
          <w:rFonts w:hint="eastAsia" w:ascii="宋体" w:hAnsi="宋体" w:eastAsia="宋体" w:cs="宋体"/>
          <w:color w:val="auto"/>
          <w:sz w:val="21"/>
          <w:szCs w:val="21"/>
        </w:rPr>
        <w:t xml:space="preserve">代表 </w:t>
      </w:r>
      <w:r>
        <w:rPr>
          <w:rFonts w:hint="eastAsia" w:ascii="宋体" w:hAnsi="宋体" w:eastAsia="宋体" w:cs="宋体"/>
          <w:color w:val="auto"/>
          <w:sz w:val="21"/>
          <w:szCs w:val="21"/>
          <w:u w:val="single"/>
        </w:rPr>
        <w:t xml:space="preserve">            （供应商名称）</w:t>
      </w:r>
      <w:r>
        <w:rPr>
          <w:rFonts w:hint="eastAsia" w:ascii="宋体" w:hAnsi="宋体" w:eastAsia="宋体" w:cs="宋体"/>
          <w:color w:val="auto"/>
          <w:sz w:val="21"/>
          <w:szCs w:val="21"/>
        </w:rPr>
        <w:t>委托在下面签字的</w:t>
      </w:r>
      <w:r>
        <w:rPr>
          <w:rFonts w:hint="eastAsia" w:ascii="宋体" w:hAnsi="宋体" w:eastAsia="宋体" w:cs="宋体"/>
          <w:color w:val="auto"/>
          <w:sz w:val="21"/>
          <w:szCs w:val="21"/>
          <w:u w:val="single"/>
        </w:rPr>
        <w:t xml:space="preserve">          （授权代表的姓名、职务）</w:t>
      </w:r>
      <w:r>
        <w:rPr>
          <w:rFonts w:hint="eastAsia" w:ascii="宋体" w:hAnsi="宋体" w:eastAsia="宋体" w:cs="宋体"/>
          <w:color w:val="auto"/>
          <w:sz w:val="21"/>
          <w:szCs w:val="21"/>
        </w:rPr>
        <w:t>为本公司的合法代表人，就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采购项目（采购编号：</w:t>
      </w:r>
      <w:r>
        <w:rPr>
          <w:rFonts w:hint="eastAsia" w:ascii="宋体" w:hAnsi="宋体" w:eastAsia="宋体" w:cs="宋体"/>
          <w:color w:val="auto"/>
          <w:sz w:val="21"/>
          <w:szCs w:val="21"/>
          <w:u w:val="single"/>
        </w:rPr>
        <w:t xml:space="preserve">          ）             （填写授权内容）</w:t>
      </w:r>
      <w:r>
        <w:rPr>
          <w:rFonts w:hint="eastAsia" w:ascii="宋体" w:hAnsi="宋体" w:eastAsia="宋体" w:cs="宋体"/>
          <w:color w:val="auto"/>
          <w:sz w:val="21"/>
          <w:szCs w:val="21"/>
        </w:rPr>
        <w:t>，以本公司的名义处理一切与之有关的事宜</w:t>
      </w:r>
      <w:r>
        <w:rPr>
          <w:rFonts w:hint="eastAsia" w:ascii="宋体" w:hAnsi="宋体" w:eastAsia="宋体" w:cs="宋体"/>
          <w:color w:val="auto"/>
          <w:sz w:val="21"/>
          <w:szCs w:val="21"/>
          <w:u w:val="single"/>
        </w:rPr>
        <w:t>（须提供法定代表人或负责人、授权代表身份证复印件）。</w:t>
      </w:r>
    </w:p>
    <w:p>
      <w:pPr>
        <w:spacing w:after="0" w:line="360" w:lineRule="auto"/>
        <w:rPr>
          <w:rFonts w:ascii="宋体" w:hAnsi="宋体" w:eastAsia="宋体" w:cs="宋体"/>
          <w:color w:val="auto"/>
          <w:sz w:val="21"/>
          <w:szCs w:val="21"/>
        </w:rPr>
      </w:pPr>
      <w:r>
        <w:rPr>
          <w:rFonts w:hint="eastAsia" w:ascii="宋体" w:hAnsi="宋体" w:eastAsia="宋体" w:cs="宋体"/>
          <w:color w:val="auto"/>
          <w:sz w:val="21"/>
          <w:szCs w:val="21"/>
        </w:rPr>
        <w:t>本委托书于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日签字生效。</w:t>
      </w:r>
    </w:p>
    <w:p>
      <w:pPr>
        <w:spacing w:after="0" w:line="360" w:lineRule="auto"/>
        <w:rPr>
          <w:rFonts w:ascii="宋体" w:hAnsi="宋体" w:eastAsia="宋体" w:cs="宋体"/>
          <w:color w:val="auto"/>
          <w:sz w:val="21"/>
          <w:szCs w:val="21"/>
        </w:rPr>
      </w:pPr>
    </w:p>
    <w:p>
      <w:pPr>
        <w:spacing w:after="0" w:line="360" w:lineRule="auto"/>
        <w:rPr>
          <w:rFonts w:ascii="宋体" w:hAnsi="宋体" w:eastAsia="宋体" w:cs="宋体"/>
          <w:color w:val="auto"/>
          <w:sz w:val="21"/>
          <w:szCs w:val="21"/>
        </w:rPr>
      </w:pPr>
    </w:p>
    <w:p>
      <w:pPr>
        <w:spacing w:after="0" w:line="360" w:lineRule="auto"/>
        <w:rPr>
          <w:rFonts w:ascii="宋体" w:hAnsi="宋体" w:eastAsia="宋体" w:cs="宋体"/>
          <w:color w:val="auto"/>
          <w:sz w:val="21"/>
          <w:szCs w:val="21"/>
        </w:rPr>
      </w:pPr>
    </w:p>
    <w:p>
      <w:pPr>
        <w:spacing w:after="0" w:line="360" w:lineRule="auto"/>
        <w:rPr>
          <w:rFonts w:ascii="宋体" w:hAnsi="宋体" w:eastAsia="宋体" w:cs="宋体"/>
          <w:color w:val="auto"/>
          <w:sz w:val="21"/>
          <w:szCs w:val="21"/>
        </w:rPr>
      </w:pPr>
      <w:r>
        <w:rPr>
          <w:rFonts w:hint="eastAsia" w:ascii="宋体" w:hAnsi="宋体" w:eastAsia="宋体" w:cs="宋体"/>
          <w:color w:val="auto"/>
          <w:sz w:val="21"/>
          <w:szCs w:val="21"/>
        </w:rPr>
        <w:t>供应商名称（加盖公章）：</w:t>
      </w:r>
    </w:p>
    <w:p>
      <w:pPr>
        <w:spacing w:after="0" w:line="360" w:lineRule="auto"/>
        <w:rPr>
          <w:rFonts w:ascii="宋体" w:hAnsi="宋体" w:eastAsia="宋体" w:cs="宋体"/>
          <w:color w:val="auto"/>
          <w:sz w:val="21"/>
          <w:szCs w:val="21"/>
        </w:rPr>
      </w:pPr>
      <w:r>
        <w:rPr>
          <w:rFonts w:hint="eastAsia" w:ascii="宋体" w:hAnsi="宋体" w:eastAsia="宋体" w:cs="宋体"/>
          <w:color w:val="auto"/>
          <w:sz w:val="21"/>
          <w:szCs w:val="21"/>
        </w:rPr>
        <w:t>法定代表人或负责人（签名或盖私章）：</w:t>
      </w:r>
    </w:p>
    <w:p>
      <w:pPr>
        <w:spacing w:after="0" w:line="360" w:lineRule="auto"/>
        <w:rPr>
          <w:rFonts w:ascii="宋体" w:hAnsi="宋体" w:eastAsia="宋体" w:cs="宋体"/>
          <w:color w:val="auto"/>
          <w:sz w:val="21"/>
          <w:szCs w:val="21"/>
        </w:rPr>
      </w:pPr>
      <w:r>
        <w:rPr>
          <w:rFonts w:hint="eastAsia" w:ascii="宋体" w:hAnsi="宋体" w:eastAsia="宋体" w:cs="宋体"/>
          <w:color w:val="auto"/>
          <w:sz w:val="21"/>
          <w:szCs w:val="21"/>
        </w:rPr>
        <w:t>授权代表（签名或盖私章）：</w:t>
      </w:r>
    </w:p>
    <w:p>
      <w:pPr>
        <w:spacing w:after="0" w:line="360" w:lineRule="auto"/>
        <w:rPr>
          <w:rFonts w:ascii="仿宋" w:hAnsi="仿宋" w:eastAsia="仿宋"/>
          <w:color w:val="auto"/>
          <w:sz w:val="24"/>
        </w:rPr>
      </w:pPr>
      <w:r>
        <w:rPr>
          <w:rFonts w:hint="eastAsia" w:ascii="宋体" w:hAnsi="宋体" w:eastAsia="宋体" w:cs="宋体"/>
          <w:color w:val="auto"/>
          <w:sz w:val="21"/>
          <w:szCs w:val="21"/>
        </w:rPr>
        <w:t>日期：</w:t>
      </w:r>
    </w:p>
    <w:p>
      <w:pPr>
        <w:rPr>
          <w:color w:val="auto"/>
        </w:rPr>
      </w:pPr>
    </w:p>
    <w:sectPr>
      <w:footerReference r:id="rId5" w:type="first"/>
      <w:footerReference r:id="rId4" w:type="default"/>
      <w:pgSz w:w="11906" w:h="16838"/>
      <w:pgMar w:top="1440" w:right="1800" w:bottom="1440" w:left="1800" w:header="708" w:footer="708" w:gutter="0"/>
      <w:pgNumType w:start="1"/>
      <w:cols w:space="708"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83</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EwQrMBAABLAwAADgAAAGRycy9lMm9Eb2MueG1srVPBjtMwEL0j8Q+W&#10;7zRppF2VqOkKtFqEhABp4QNcx24s2R7L423SH4A/4MSFO9/V72Dspl0Et9VenPHM+M28N5P1zeQs&#10;26uIBnzHl4uaM+Ul9MbvOv71y92rFWeYhO+FBa86flDIbzYvX6zH0KoGBrC9ioxAPLZj6PiQUmir&#10;CuWgnMAFBOUpqCE6kegad1UfxUjozlZNXV9XI8Q+RJAKkby3pyDfFHytlUyftEaVmO049ZbKGcu5&#10;zWe1WYt2F0UYjJzbEE/owgnjqegF6lYkwR6i+Q/KGRkBQaeFBFeB1kaqwoHYLOt/2NwPIqjChcTB&#10;cJEJnw9Wftx/jsz0NDvOvHA0ouOP78efv4+/vrFl3VxnhcaALSXeB0pN01uYcvbsR3Jm4pOOLn+J&#10;EqM4aX246KumxGR+tGpWq5pCkmLnC+FUj89DxPROgWPZ6HikARZdxf4DplPqOSVX83BnrCW/aK1n&#10;Y8dfXzVX5cElQuDWU41M4tRsttK0nWYGW+gPRGykJei4py3lzL73pHHel7MRz8Z2NnJJDG8eEnVQ&#10;GsuoJ6i5GE2sUJu3K6/E3/eS9fgPb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LhhMEKz&#10;AQAASwMAAA4AAAAAAAAAAQAgAAAAHgEAAGRycy9lMm9Eb2MueG1sUEsFBgAAAAAGAAYAWQEAAEMF&#10;AAAAAA==&#10;">
              <v:fill on="f" focussize="0,0"/>
              <v:stroke on="f"/>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83</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97CcLIBAABLAwAADgAAAGRycy9lMm9Eb2MueG1srVPBbtswDL0P2D8I&#10;ui92MrTIjChFi6LDgGEb0O4DFFmKBUiiIKmx8wPtH+y0y+77rnzHKMVOu/Y27EJTIvX4HkmvLgZr&#10;yE6GqMExOp/VlEgnoNVuy+j3u5t3S0pi4q7lBpxkdC8jvVi/fbPqfSMX0IFpZSAI4mLTe0a7lHxT&#10;VVF00vI4Ay8dBhUEyxMew7ZqA+8R3ZpqUdfnVQ+h9QGEjBFvr49Bui74SkmRvioVZSKGUeSWig3F&#10;brKt1ivebAP3nRYjDf4PLCzXDoueoK554uQ+6FdQVosAEVSaCbAVKKWFLBpQzbx+oea2414WLdic&#10;6E9tiv8PVnzZfQtEt4y+p8RxiyM6/Hg8/Px9+PVA5vXiLHeo97HBxFuPqWm4ggEnPd1HvMzCBxVs&#10;/qIkgnHs9f7UXzkkIvKj5WK5rDEkMDYdEL96eu5DTB8lWJIdRgMOsPSV7z7HdEydUnI1BzfamDJE&#10;40jP6IczpPxXBMGNwxpZxJFs9tKwGUZlG2j3KKzHJWDU4ZZSYj457HHel8kJk7MZnVwj+sv7hAwK&#10;sYx6hBqL4cSKtHG78ko8P5esp39g/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c97CcLIB&#10;AABLAwAADgAAAAAAAAABACAAAAAeAQAAZHJzL2Uyb0RvYy54bWxQSwUGAAAAAAYABgBZAQAAQgUA&#10;AAAA&#10;">
              <v:fill on="f" focussize="0,0"/>
              <v:stroke on="f"/>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rPr>
      <w:t>东莞市政府采购公开招标文件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87489"/>
    <w:multiLevelType w:val="singleLevel"/>
    <w:tmpl w:val="93587489"/>
    <w:lvl w:ilvl="0" w:tentative="0">
      <w:start w:val="1"/>
      <w:numFmt w:val="decimal"/>
      <w:suff w:val="nothing"/>
      <w:lvlText w:val="%1、"/>
      <w:lvlJc w:val="left"/>
    </w:lvl>
  </w:abstractNum>
  <w:abstractNum w:abstractNumId="1">
    <w:nsid w:val="BAA12ADA"/>
    <w:multiLevelType w:val="singleLevel"/>
    <w:tmpl w:val="BAA12ADA"/>
    <w:lvl w:ilvl="0" w:tentative="0">
      <w:start w:val="1"/>
      <w:numFmt w:val="decimal"/>
      <w:suff w:val="nothing"/>
      <w:lvlText w:val="（%1）"/>
      <w:lvlJc w:val="left"/>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D0047B7E"/>
    <w:multiLevelType w:val="singleLevel"/>
    <w:tmpl w:val="D0047B7E"/>
    <w:lvl w:ilvl="0" w:tentative="0">
      <w:start w:val="1"/>
      <w:numFmt w:val="decimal"/>
      <w:suff w:val="nothing"/>
      <w:lvlText w:val="%1、"/>
      <w:lvlJc w:val="left"/>
    </w:lvl>
  </w:abstractNum>
  <w:abstractNum w:abstractNumId="4">
    <w:nsid w:val="E09EF6E1"/>
    <w:multiLevelType w:val="singleLevel"/>
    <w:tmpl w:val="E09EF6E1"/>
    <w:lvl w:ilvl="0" w:tentative="0">
      <w:start w:val="1"/>
      <w:numFmt w:val="decimal"/>
      <w:suff w:val="nothing"/>
      <w:lvlText w:val="（%1）"/>
      <w:lvlJc w:val="left"/>
    </w:lvl>
  </w:abstractNum>
  <w:abstractNum w:abstractNumId="5">
    <w:nsid w:val="F73DC5D7"/>
    <w:multiLevelType w:val="singleLevel"/>
    <w:tmpl w:val="F73DC5D7"/>
    <w:lvl w:ilvl="0" w:tentative="0">
      <w:start w:val="1"/>
      <w:numFmt w:val="decimal"/>
      <w:suff w:val="nothing"/>
      <w:lvlText w:val="（%1）"/>
      <w:lvlJc w:val="left"/>
    </w:lvl>
  </w:abstractNum>
  <w:abstractNum w:abstractNumId="6">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1D627377"/>
    <w:multiLevelType w:val="multilevel"/>
    <w:tmpl w:val="1D627377"/>
    <w:lvl w:ilvl="0" w:tentative="0">
      <w:start w:val="5"/>
      <w:numFmt w:val="decimal"/>
      <w:pStyle w:val="3"/>
      <w:lvlText w:val="第%1章"/>
      <w:lvlJc w:val="left"/>
      <w:pPr>
        <w:tabs>
          <w:tab w:val="left" w:pos="5192"/>
        </w:tabs>
        <w:ind w:left="4544" w:hanging="432"/>
      </w:pPr>
      <w:rPr>
        <w:rFonts w:hint="eastAsia" w:eastAsia="宋体"/>
        <w:b w:val="0"/>
        <w:i w:val="0"/>
        <w:sz w:val="36"/>
      </w:rPr>
    </w:lvl>
    <w:lvl w:ilvl="1" w:tentative="0">
      <w:start w:val="2"/>
      <w:numFmt w:val="decimal"/>
      <w:lvlText w:val="%1.%2"/>
      <w:lvlJc w:val="left"/>
      <w:pPr>
        <w:tabs>
          <w:tab w:val="left" w:pos="576"/>
        </w:tabs>
        <w:ind w:left="576" w:hanging="576"/>
      </w:pPr>
      <w:rPr>
        <w:rFonts w:hint="eastAsia" w:eastAsia="宋体"/>
        <w:b w:val="0"/>
        <w:i w:val="0"/>
        <w:sz w:val="32"/>
      </w:rPr>
    </w:lvl>
    <w:lvl w:ilvl="2" w:tentative="0">
      <w:start w:val="1"/>
      <w:numFmt w:val="decimal"/>
      <w:lvlText w:val="%1.%2.%3"/>
      <w:lvlJc w:val="left"/>
      <w:pPr>
        <w:tabs>
          <w:tab w:val="left" w:pos="1854"/>
        </w:tabs>
        <w:ind w:left="1854" w:hanging="720"/>
      </w:pPr>
      <w:rPr>
        <w:rFonts w:hint="eastAsia" w:eastAsia="宋体"/>
        <w:b w:val="0"/>
        <w:i w:val="0"/>
        <w:sz w:val="24"/>
      </w:rPr>
    </w:lvl>
    <w:lvl w:ilvl="3" w:tentative="0">
      <w:start w:val="1"/>
      <w:numFmt w:val="decimal"/>
      <w:lvlText w:val="%1.%2.%3.%4"/>
      <w:lvlJc w:val="left"/>
      <w:pPr>
        <w:tabs>
          <w:tab w:val="left" w:pos="1800"/>
        </w:tabs>
        <w:ind w:left="864" w:hanging="864"/>
      </w:pPr>
      <w:rPr>
        <w:rFonts w:hint="eastAsia"/>
      </w:rPr>
    </w:lvl>
    <w:lvl w:ilvl="4" w:tentative="0">
      <w:start w:val="1"/>
      <w:numFmt w:val="decimal"/>
      <w:lvlText w:val="%1.%2.%3.%4.%5"/>
      <w:lvlJc w:val="left"/>
      <w:pPr>
        <w:tabs>
          <w:tab w:val="left" w:pos="2160"/>
        </w:tabs>
        <w:ind w:left="1008" w:hanging="1008"/>
      </w:pPr>
      <w:rPr>
        <w:rFonts w:hint="eastAsia"/>
      </w:rPr>
    </w:lvl>
    <w:lvl w:ilvl="5" w:tentative="0">
      <w:start w:val="1"/>
      <w:numFmt w:val="decimal"/>
      <w:lvlText w:val="%1.%2.%3.%4.%5.%6"/>
      <w:lvlJc w:val="left"/>
      <w:pPr>
        <w:tabs>
          <w:tab w:val="left" w:pos="2520"/>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206CABF7"/>
    <w:multiLevelType w:val="singleLevel"/>
    <w:tmpl w:val="206CABF7"/>
    <w:lvl w:ilvl="0" w:tentative="0">
      <w:start w:val="1"/>
      <w:numFmt w:val="decimal"/>
      <w:suff w:val="nothing"/>
      <w:lvlText w:val="（%1）"/>
      <w:lvlJc w:val="left"/>
    </w:lvl>
  </w:abstractNum>
  <w:abstractNum w:abstractNumId="10">
    <w:nsid w:val="3F88662E"/>
    <w:multiLevelType w:val="singleLevel"/>
    <w:tmpl w:val="3F88662E"/>
    <w:lvl w:ilvl="0" w:tentative="0">
      <w:start w:val="1"/>
      <w:numFmt w:val="decimal"/>
      <w:suff w:val="space"/>
      <w:lvlText w:val="%1)"/>
      <w:lvlJc w:val="left"/>
    </w:lvl>
  </w:abstractNum>
  <w:abstractNum w:abstractNumId="11">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43F784F"/>
    <w:multiLevelType w:val="multilevel"/>
    <w:tmpl w:val="743F784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78FA6CE2"/>
    <w:multiLevelType w:val="multilevel"/>
    <w:tmpl w:val="78FA6CE2"/>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8"/>
  </w:num>
  <w:num w:numId="2">
    <w:abstractNumId w:val="13"/>
  </w:num>
  <w:num w:numId="3">
    <w:abstractNumId w:val="14"/>
  </w:num>
  <w:num w:numId="4">
    <w:abstractNumId w:val="11"/>
  </w:num>
  <w:num w:numId="5">
    <w:abstractNumId w:val="7"/>
  </w:num>
  <w:num w:numId="6">
    <w:abstractNumId w:val="10"/>
  </w:num>
  <w:num w:numId="7">
    <w:abstractNumId w:val="9"/>
  </w:num>
  <w:num w:numId="8">
    <w:abstractNumId w:val="4"/>
  </w:num>
  <w:num w:numId="9">
    <w:abstractNumId w:val="5"/>
  </w:num>
  <w:num w:numId="10">
    <w:abstractNumId w:val="1"/>
  </w:num>
  <w:num w:numId="11">
    <w:abstractNumId w:val="2"/>
  </w:num>
  <w:num w:numId="12">
    <w:abstractNumId w:val="6"/>
  </w:num>
  <w:num w:numId="13">
    <w:abstractNumId w:val="0"/>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6B"/>
    <w:rsid w:val="00006462"/>
    <w:rsid w:val="00010CAB"/>
    <w:rsid w:val="000300E4"/>
    <w:rsid w:val="0003307E"/>
    <w:rsid w:val="000336BA"/>
    <w:rsid w:val="000359A1"/>
    <w:rsid w:val="0007500F"/>
    <w:rsid w:val="0008282E"/>
    <w:rsid w:val="000A363F"/>
    <w:rsid w:val="000A42A8"/>
    <w:rsid w:val="000A5063"/>
    <w:rsid w:val="000A5DBD"/>
    <w:rsid w:val="000C4524"/>
    <w:rsid w:val="000D1C18"/>
    <w:rsid w:val="000D44A6"/>
    <w:rsid w:val="000D5273"/>
    <w:rsid w:val="000F0E98"/>
    <w:rsid w:val="001049A5"/>
    <w:rsid w:val="001242F3"/>
    <w:rsid w:val="00134CAD"/>
    <w:rsid w:val="0013730B"/>
    <w:rsid w:val="00137853"/>
    <w:rsid w:val="00137E1C"/>
    <w:rsid w:val="00147012"/>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D3A57"/>
    <w:rsid w:val="001F0070"/>
    <w:rsid w:val="001F4B02"/>
    <w:rsid w:val="002065A7"/>
    <w:rsid w:val="0021149E"/>
    <w:rsid w:val="00213021"/>
    <w:rsid w:val="00213FED"/>
    <w:rsid w:val="00216BE9"/>
    <w:rsid w:val="0022503E"/>
    <w:rsid w:val="00225BB4"/>
    <w:rsid w:val="00226313"/>
    <w:rsid w:val="00240F5F"/>
    <w:rsid w:val="00244C00"/>
    <w:rsid w:val="00247AE0"/>
    <w:rsid w:val="002504F8"/>
    <w:rsid w:val="00260AC1"/>
    <w:rsid w:val="0026312D"/>
    <w:rsid w:val="0027078E"/>
    <w:rsid w:val="00284156"/>
    <w:rsid w:val="00285643"/>
    <w:rsid w:val="002867A1"/>
    <w:rsid w:val="00287200"/>
    <w:rsid w:val="002901F8"/>
    <w:rsid w:val="002A540A"/>
    <w:rsid w:val="002B4087"/>
    <w:rsid w:val="002B5F6C"/>
    <w:rsid w:val="002C165E"/>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86C3A"/>
    <w:rsid w:val="00393B1D"/>
    <w:rsid w:val="003A1D97"/>
    <w:rsid w:val="003C3B19"/>
    <w:rsid w:val="003C412B"/>
    <w:rsid w:val="003C415C"/>
    <w:rsid w:val="003D36FB"/>
    <w:rsid w:val="003D37D8"/>
    <w:rsid w:val="003E2B8C"/>
    <w:rsid w:val="003F4822"/>
    <w:rsid w:val="00401CC0"/>
    <w:rsid w:val="00410F11"/>
    <w:rsid w:val="004203B9"/>
    <w:rsid w:val="00421BCF"/>
    <w:rsid w:val="004322A2"/>
    <w:rsid w:val="004358AB"/>
    <w:rsid w:val="00442922"/>
    <w:rsid w:val="00451EB4"/>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76AD"/>
    <w:rsid w:val="006378D4"/>
    <w:rsid w:val="0064416A"/>
    <w:rsid w:val="0065365D"/>
    <w:rsid w:val="0065543F"/>
    <w:rsid w:val="00664F6B"/>
    <w:rsid w:val="006731D2"/>
    <w:rsid w:val="00682986"/>
    <w:rsid w:val="006913C9"/>
    <w:rsid w:val="00691701"/>
    <w:rsid w:val="00691AE0"/>
    <w:rsid w:val="0069491E"/>
    <w:rsid w:val="006B7878"/>
    <w:rsid w:val="006B7E43"/>
    <w:rsid w:val="006C14BD"/>
    <w:rsid w:val="006C28E5"/>
    <w:rsid w:val="006D1BA8"/>
    <w:rsid w:val="006D393E"/>
    <w:rsid w:val="006D4AD8"/>
    <w:rsid w:val="006E0B58"/>
    <w:rsid w:val="006E0C4B"/>
    <w:rsid w:val="007110BA"/>
    <w:rsid w:val="00711465"/>
    <w:rsid w:val="0072310A"/>
    <w:rsid w:val="00723B11"/>
    <w:rsid w:val="007343A7"/>
    <w:rsid w:val="00734BB2"/>
    <w:rsid w:val="0075028E"/>
    <w:rsid w:val="007608B9"/>
    <w:rsid w:val="00761AAB"/>
    <w:rsid w:val="007724B4"/>
    <w:rsid w:val="007818FB"/>
    <w:rsid w:val="007916E7"/>
    <w:rsid w:val="00797C5D"/>
    <w:rsid w:val="00797D2F"/>
    <w:rsid w:val="007A34B9"/>
    <w:rsid w:val="007A6F47"/>
    <w:rsid w:val="007C4F46"/>
    <w:rsid w:val="007C7297"/>
    <w:rsid w:val="007D1B4F"/>
    <w:rsid w:val="007D2F9E"/>
    <w:rsid w:val="007D3175"/>
    <w:rsid w:val="007D48BF"/>
    <w:rsid w:val="007D5C45"/>
    <w:rsid w:val="007E2543"/>
    <w:rsid w:val="007E4A26"/>
    <w:rsid w:val="007F01B0"/>
    <w:rsid w:val="007F2CD8"/>
    <w:rsid w:val="007F4DC5"/>
    <w:rsid w:val="00806380"/>
    <w:rsid w:val="0081104F"/>
    <w:rsid w:val="00822299"/>
    <w:rsid w:val="00833E43"/>
    <w:rsid w:val="0083486A"/>
    <w:rsid w:val="00841378"/>
    <w:rsid w:val="00842B87"/>
    <w:rsid w:val="00845BEB"/>
    <w:rsid w:val="008472E6"/>
    <w:rsid w:val="0085172E"/>
    <w:rsid w:val="00853463"/>
    <w:rsid w:val="0086026F"/>
    <w:rsid w:val="008640F5"/>
    <w:rsid w:val="00884CA3"/>
    <w:rsid w:val="008907DA"/>
    <w:rsid w:val="008A0587"/>
    <w:rsid w:val="008A257D"/>
    <w:rsid w:val="008B7432"/>
    <w:rsid w:val="008B7726"/>
    <w:rsid w:val="008D429E"/>
    <w:rsid w:val="008D5A10"/>
    <w:rsid w:val="008E319F"/>
    <w:rsid w:val="008E619C"/>
    <w:rsid w:val="008F6E0E"/>
    <w:rsid w:val="008F79E1"/>
    <w:rsid w:val="00906F49"/>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D55C3"/>
    <w:rsid w:val="009E398C"/>
    <w:rsid w:val="009E6F05"/>
    <w:rsid w:val="00A10906"/>
    <w:rsid w:val="00A14EEF"/>
    <w:rsid w:val="00A25E78"/>
    <w:rsid w:val="00A61230"/>
    <w:rsid w:val="00A813C5"/>
    <w:rsid w:val="00A824E6"/>
    <w:rsid w:val="00A858DC"/>
    <w:rsid w:val="00A918FF"/>
    <w:rsid w:val="00A94D14"/>
    <w:rsid w:val="00AB19CE"/>
    <w:rsid w:val="00AB3969"/>
    <w:rsid w:val="00AC187B"/>
    <w:rsid w:val="00AC5C21"/>
    <w:rsid w:val="00AE310E"/>
    <w:rsid w:val="00AE4FC5"/>
    <w:rsid w:val="00AF5F1F"/>
    <w:rsid w:val="00B027A4"/>
    <w:rsid w:val="00B236B3"/>
    <w:rsid w:val="00B26534"/>
    <w:rsid w:val="00B26806"/>
    <w:rsid w:val="00B31B24"/>
    <w:rsid w:val="00B4287F"/>
    <w:rsid w:val="00B4315F"/>
    <w:rsid w:val="00B60DAB"/>
    <w:rsid w:val="00B7194E"/>
    <w:rsid w:val="00B763B0"/>
    <w:rsid w:val="00B93045"/>
    <w:rsid w:val="00BA2EB8"/>
    <w:rsid w:val="00BA4130"/>
    <w:rsid w:val="00BB2CAF"/>
    <w:rsid w:val="00BC3E74"/>
    <w:rsid w:val="00BD4D00"/>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C584A"/>
    <w:rsid w:val="00CC5E4E"/>
    <w:rsid w:val="00CD0EAB"/>
    <w:rsid w:val="00CE2AF3"/>
    <w:rsid w:val="00CE621D"/>
    <w:rsid w:val="00CE66E8"/>
    <w:rsid w:val="00D05388"/>
    <w:rsid w:val="00D114CD"/>
    <w:rsid w:val="00D14476"/>
    <w:rsid w:val="00D16375"/>
    <w:rsid w:val="00D232FF"/>
    <w:rsid w:val="00D279AA"/>
    <w:rsid w:val="00D34544"/>
    <w:rsid w:val="00D44A97"/>
    <w:rsid w:val="00D45C0C"/>
    <w:rsid w:val="00D508A5"/>
    <w:rsid w:val="00D5104B"/>
    <w:rsid w:val="00D555D8"/>
    <w:rsid w:val="00D60778"/>
    <w:rsid w:val="00D64D28"/>
    <w:rsid w:val="00D6604D"/>
    <w:rsid w:val="00D677F1"/>
    <w:rsid w:val="00D74601"/>
    <w:rsid w:val="00D7775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40CAD"/>
    <w:rsid w:val="00E44530"/>
    <w:rsid w:val="00E61D2E"/>
    <w:rsid w:val="00E62B7F"/>
    <w:rsid w:val="00E726BC"/>
    <w:rsid w:val="00E72821"/>
    <w:rsid w:val="00E81DDC"/>
    <w:rsid w:val="00E81F67"/>
    <w:rsid w:val="00E83650"/>
    <w:rsid w:val="00E83A31"/>
    <w:rsid w:val="00E93E51"/>
    <w:rsid w:val="00E97CC0"/>
    <w:rsid w:val="00EA2524"/>
    <w:rsid w:val="00EC092D"/>
    <w:rsid w:val="00EC0DF8"/>
    <w:rsid w:val="00ED378B"/>
    <w:rsid w:val="00EE08F9"/>
    <w:rsid w:val="00EE463D"/>
    <w:rsid w:val="00EE5B3F"/>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87AC6"/>
    <w:rsid w:val="00F97062"/>
    <w:rsid w:val="00F9745D"/>
    <w:rsid w:val="00FC7B53"/>
    <w:rsid w:val="00FD48CC"/>
    <w:rsid w:val="00FE62D1"/>
    <w:rsid w:val="00FF26BF"/>
    <w:rsid w:val="018023CE"/>
    <w:rsid w:val="01881AD6"/>
    <w:rsid w:val="01B938AA"/>
    <w:rsid w:val="024E2E49"/>
    <w:rsid w:val="02A27908"/>
    <w:rsid w:val="02A741FD"/>
    <w:rsid w:val="02C16E5D"/>
    <w:rsid w:val="02D964CF"/>
    <w:rsid w:val="03707410"/>
    <w:rsid w:val="037F03E3"/>
    <w:rsid w:val="03A0770F"/>
    <w:rsid w:val="03A27BF9"/>
    <w:rsid w:val="03A448B8"/>
    <w:rsid w:val="04DF1036"/>
    <w:rsid w:val="05A97DEC"/>
    <w:rsid w:val="05C81981"/>
    <w:rsid w:val="06207506"/>
    <w:rsid w:val="06575F90"/>
    <w:rsid w:val="06BC41F2"/>
    <w:rsid w:val="07197D08"/>
    <w:rsid w:val="071C2CFD"/>
    <w:rsid w:val="071E5C55"/>
    <w:rsid w:val="073F7319"/>
    <w:rsid w:val="07615EC0"/>
    <w:rsid w:val="077005AB"/>
    <w:rsid w:val="078F4581"/>
    <w:rsid w:val="07995C5E"/>
    <w:rsid w:val="07BE179A"/>
    <w:rsid w:val="07BF027F"/>
    <w:rsid w:val="08031A31"/>
    <w:rsid w:val="081A5CC7"/>
    <w:rsid w:val="08DF49B4"/>
    <w:rsid w:val="09061A75"/>
    <w:rsid w:val="09182241"/>
    <w:rsid w:val="093C069F"/>
    <w:rsid w:val="09855177"/>
    <w:rsid w:val="09F1637C"/>
    <w:rsid w:val="0AA534D5"/>
    <w:rsid w:val="0AA650EB"/>
    <w:rsid w:val="0AF47339"/>
    <w:rsid w:val="0B1E5774"/>
    <w:rsid w:val="0B22594B"/>
    <w:rsid w:val="0BC044BE"/>
    <w:rsid w:val="0BDF26F7"/>
    <w:rsid w:val="0C2B4952"/>
    <w:rsid w:val="0C7B2220"/>
    <w:rsid w:val="0D890E47"/>
    <w:rsid w:val="0DC64A00"/>
    <w:rsid w:val="0DFC60BA"/>
    <w:rsid w:val="0E4249F1"/>
    <w:rsid w:val="0F593961"/>
    <w:rsid w:val="0F7C5FF6"/>
    <w:rsid w:val="0FC63FBD"/>
    <w:rsid w:val="106C564D"/>
    <w:rsid w:val="107B7B8F"/>
    <w:rsid w:val="107C67CE"/>
    <w:rsid w:val="109D68CB"/>
    <w:rsid w:val="10A949B8"/>
    <w:rsid w:val="11200D07"/>
    <w:rsid w:val="113137E7"/>
    <w:rsid w:val="11DA73AF"/>
    <w:rsid w:val="12200635"/>
    <w:rsid w:val="12C60D80"/>
    <w:rsid w:val="131F7A3A"/>
    <w:rsid w:val="132645D0"/>
    <w:rsid w:val="13455ABC"/>
    <w:rsid w:val="1370322B"/>
    <w:rsid w:val="138F63CD"/>
    <w:rsid w:val="13B27845"/>
    <w:rsid w:val="141A03E1"/>
    <w:rsid w:val="143B2E0B"/>
    <w:rsid w:val="14892735"/>
    <w:rsid w:val="14B93406"/>
    <w:rsid w:val="14CC769D"/>
    <w:rsid w:val="150518F8"/>
    <w:rsid w:val="159C39EC"/>
    <w:rsid w:val="15D359D7"/>
    <w:rsid w:val="15D81E0F"/>
    <w:rsid w:val="163C77BE"/>
    <w:rsid w:val="1679588C"/>
    <w:rsid w:val="16994962"/>
    <w:rsid w:val="16A71041"/>
    <w:rsid w:val="16AA24BF"/>
    <w:rsid w:val="16F72341"/>
    <w:rsid w:val="17680CAB"/>
    <w:rsid w:val="176E4128"/>
    <w:rsid w:val="1783371F"/>
    <w:rsid w:val="17E62B67"/>
    <w:rsid w:val="180F4499"/>
    <w:rsid w:val="18221ECE"/>
    <w:rsid w:val="19A2789F"/>
    <w:rsid w:val="19B86914"/>
    <w:rsid w:val="1A460CF5"/>
    <w:rsid w:val="1A7F297D"/>
    <w:rsid w:val="1AB16AC1"/>
    <w:rsid w:val="1B034A52"/>
    <w:rsid w:val="1B1F34AD"/>
    <w:rsid w:val="1B8D5DC6"/>
    <w:rsid w:val="1BBA5FA7"/>
    <w:rsid w:val="1C750ECE"/>
    <w:rsid w:val="1CE626FC"/>
    <w:rsid w:val="1D0836D7"/>
    <w:rsid w:val="1D196139"/>
    <w:rsid w:val="1E010AF7"/>
    <w:rsid w:val="1E0178EB"/>
    <w:rsid w:val="1E301173"/>
    <w:rsid w:val="1EA40BB4"/>
    <w:rsid w:val="1F43381C"/>
    <w:rsid w:val="1FA4148D"/>
    <w:rsid w:val="20121621"/>
    <w:rsid w:val="201A421D"/>
    <w:rsid w:val="204E554F"/>
    <w:rsid w:val="20590035"/>
    <w:rsid w:val="20FC799E"/>
    <w:rsid w:val="22154DDD"/>
    <w:rsid w:val="22213E42"/>
    <w:rsid w:val="22336873"/>
    <w:rsid w:val="23BB4E7D"/>
    <w:rsid w:val="23C172D6"/>
    <w:rsid w:val="23F04F64"/>
    <w:rsid w:val="24814CBE"/>
    <w:rsid w:val="24AC168B"/>
    <w:rsid w:val="25145E0E"/>
    <w:rsid w:val="258C3BEC"/>
    <w:rsid w:val="260E3862"/>
    <w:rsid w:val="26F56CE2"/>
    <w:rsid w:val="27B36A67"/>
    <w:rsid w:val="27B54072"/>
    <w:rsid w:val="27EB0D9B"/>
    <w:rsid w:val="286602C8"/>
    <w:rsid w:val="28665C95"/>
    <w:rsid w:val="290B3EB9"/>
    <w:rsid w:val="291418C2"/>
    <w:rsid w:val="2950768C"/>
    <w:rsid w:val="297A5FC4"/>
    <w:rsid w:val="2A6F4181"/>
    <w:rsid w:val="2A8D4F8F"/>
    <w:rsid w:val="2A911082"/>
    <w:rsid w:val="2A917B34"/>
    <w:rsid w:val="2AE3766F"/>
    <w:rsid w:val="2B4E593E"/>
    <w:rsid w:val="2B7E4054"/>
    <w:rsid w:val="2BF22742"/>
    <w:rsid w:val="2C987C56"/>
    <w:rsid w:val="2CFF149A"/>
    <w:rsid w:val="2D201865"/>
    <w:rsid w:val="2D4B5CEA"/>
    <w:rsid w:val="2D652658"/>
    <w:rsid w:val="2DC80C49"/>
    <w:rsid w:val="2DCA6355"/>
    <w:rsid w:val="2E166748"/>
    <w:rsid w:val="2E556F01"/>
    <w:rsid w:val="2E8E20B4"/>
    <w:rsid w:val="2ED06066"/>
    <w:rsid w:val="2ED1223D"/>
    <w:rsid w:val="2EE470F7"/>
    <w:rsid w:val="2F000139"/>
    <w:rsid w:val="2F561B8A"/>
    <w:rsid w:val="2F9F42DC"/>
    <w:rsid w:val="2FF37AB3"/>
    <w:rsid w:val="30FF27D2"/>
    <w:rsid w:val="3111662D"/>
    <w:rsid w:val="31170995"/>
    <w:rsid w:val="31264A30"/>
    <w:rsid w:val="31884E67"/>
    <w:rsid w:val="31A0275E"/>
    <w:rsid w:val="31ED6B08"/>
    <w:rsid w:val="32AB70C5"/>
    <w:rsid w:val="32DC33E0"/>
    <w:rsid w:val="331B5B4E"/>
    <w:rsid w:val="333D449B"/>
    <w:rsid w:val="335D0AF5"/>
    <w:rsid w:val="3370088C"/>
    <w:rsid w:val="33A3154A"/>
    <w:rsid w:val="33DC2F78"/>
    <w:rsid w:val="3428227C"/>
    <w:rsid w:val="35602226"/>
    <w:rsid w:val="356B72E7"/>
    <w:rsid w:val="3572424F"/>
    <w:rsid w:val="35FC3844"/>
    <w:rsid w:val="36AD519D"/>
    <w:rsid w:val="36B57705"/>
    <w:rsid w:val="37A103ED"/>
    <w:rsid w:val="37EA5E6E"/>
    <w:rsid w:val="37FF016F"/>
    <w:rsid w:val="38427C0B"/>
    <w:rsid w:val="387C5ABE"/>
    <w:rsid w:val="389B3A1E"/>
    <w:rsid w:val="38EB6119"/>
    <w:rsid w:val="39FE0BE9"/>
    <w:rsid w:val="3A3C1AAF"/>
    <w:rsid w:val="3A51228C"/>
    <w:rsid w:val="3A552E60"/>
    <w:rsid w:val="3A5D642F"/>
    <w:rsid w:val="3AB210FC"/>
    <w:rsid w:val="3BCD72F7"/>
    <w:rsid w:val="3C414142"/>
    <w:rsid w:val="3CF737A2"/>
    <w:rsid w:val="3D10295A"/>
    <w:rsid w:val="3E0572FD"/>
    <w:rsid w:val="3E1A5292"/>
    <w:rsid w:val="3E5A7FE7"/>
    <w:rsid w:val="3EF66B2E"/>
    <w:rsid w:val="3F217914"/>
    <w:rsid w:val="3FD70BB0"/>
    <w:rsid w:val="3FFB55AC"/>
    <w:rsid w:val="401C5F9D"/>
    <w:rsid w:val="401C690C"/>
    <w:rsid w:val="401D7195"/>
    <w:rsid w:val="40CE3DC0"/>
    <w:rsid w:val="40D7455A"/>
    <w:rsid w:val="40E743E5"/>
    <w:rsid w:val="41734CBA"/>
    <w:rsid w:val="41DD7057"/>
    <w:rsid w:val="420F7A65"/>
    <w:rsid w:val="4216611A"/>
    <w:rsid w:val="423E300F"/>
    <w:rsid w:val="425656C8"/>
    <w:rsid w:val="4257273C"/>
    <w:rsid w:val="42677B61"/>
    <w:rsid w:val="42B21AD2"/>
    <w:rsid w:val="42FD694D"/>
    <w:rsid w:val="43FA5777"/>
    <w:rsid w:val="440D1BDF"/>
    <w:rsid w:val="441C1611"/>
    <w:rsid w:val="443C440B"/>
    <w:rsid w:val="443F7DBF"/>
    <w:rsid w:val="44514F52"/>
    <w:rsid w:val="44FA2D53"/>
    <w:rsid w:val="4571374F"/>
    <w:rsid w:val="458B1BB0"/>
    <w:rsid w:val="4611075B"/>
    <w:rsid w:val="46214818"/>
    <w:rsid w:val="467A0297"/>
    <w:rsid w:val="468B7125"/>
    <w:rsid w:val="46C4691F"/>
    <w:rsid w:val="479D1D34"/>
    <w:rsid w:val="47B609C0"/>
    <w:rsid w:val="482D31EA"/>
    <w:rsid w:val="485970A0"/>
    <w:rsid w:val="48B65C71"/>
    <w:rsid w:val="48F303D7"/>
    <w:rsid w:val="492837FF"/>
    <w:rsid w:val="492E6A57"/>
    <w:rsid w:val="4A0030EE"/>
    <w:rsid w:val="4AC36065"/>
    <w:rsid w:val="4B7501F5"/>
    <w:rsid w:val="4B8C2DEB"/>
    <w:rsid w:val="4BFA3C9F"/>
    <w:rsid w:val="4C0E3379"/>
    <w:rsid w:val="4C107F48"/>
    <w:rsid w:val="4C3277BC"/>
    <w:rsid w:val="4CC353EB"/>
    <w:rsid w:val="4CF36F3C"/>
    <w:rsid w:val="4D4F67BA"/>
    <w:rsid w:val="4D603399"/>
    <w:rsid w:val="4D867EE1"/>
    <w:rsid w:val="4DBC4C65"/>
    <w:rsid w:val="4DF6568D"/>
    <w:rsid w:val="4DFB5B8C"/>
    <w:rsid w:val="4E550010"/>
    <w:rsid w:val="4E5F14CB"/>
    <w:rsid w:val="4F3705F8"/>
    <w:rsid w:val="4FAC3540"/>
    <w:rsid w:val="4FBB12F4"/>
    <w:rsid w:val="4FCF1583"/>
    <w:rsid w:val="4FFA7625"/>
    <w:rsid w:val="501B0BF9"/>
    <w:rsid w:val="507D2599"/>
    <w:rsid w:val="5096229D"/>
    <w:rsid w:val="50DC4184"/>
    <w:rsid w:val="514C3EA7"/>
    <w:rsid w:val="519849E5"/>
    <w:rsid w:val="52506DA7"/>
    <w:rsid w:val="533B2B84"/>
    <w:rsid w:val="537A7243"/>
    <w:rsid w:val="539C1B81"/>
    <w:rsid w:val="53AE750F"/>
    <w:rsid w:val="53F263AD"/>
    <w:rsid w:val="549A6BFA"/>
    <w:rsid w:val="54E72921"/>
    <w:rsid w:val="55FA2961"/>
    <w:rsid w:val="565E7F4F"/>
    <w:rsid w:val="56857D06"/>
    <w:rsid w:val="56914056"/>
    <w:rsid w:val="56DB613D"/>
    <w:rsid w:val="57FC2169"/>
    <w:rsid w:val="58096275"/>
    <w:rsid w:val="581C04F1"/>
    <w:rsid w:val="582E6EF7"/>
    <w:rsid w:val="58434392"/>
    <w:rsid w:val="584E30E6"/>
    <w:rsid w:val="597B384D"/>
    <w:rsid w:val="59996DA8"/>
    <w:rsid w:val="59C30F1B"/>
    <w:rsid w:val="5A20156F"/>
    <w:rsid w:val="5AC7121C"/>
    <w:rsid w:val="5AD90B8D"/>
    <w:rsid w:val="5AE12927"/>
    <w:rsid w:val="5B2243E9"/>
    <w:rsid w:val="5B4E1A44"/>
    <w:rsid w:val="5B666742"/>
    <w:rsid w:val="5B873201"/>
    <w:rsid w:val="5B967767"/>
    <w:rsid w:val="5C286807"/>
    <w:rsid w:val="5C446BC8"/>
    <w:rsid w:val="5C4C687B"/>
    <w:rsid w:val="5C7C2768"/>
    <w:rsid w:val="5CB23AE6"/>
    <w:rsid w:val="5CF55792"/>
    <w:rsid w:val="5CFD533A"/>
    <w:rsid w:val="5D893B14"/>
    <w:rsid w:val="5E2B7D62"/>
    <w:rsid w:val="5EA06921"/>
    <w:rsid w:val="5EA22F0B"/>
    <w:rsid w:val="5F576E4B"/>
    <w:rsid w:val="5F7A2C30"/>
    <w:rsid w:val="5FBE370A"/>
    <w:rsid w:val="60292845"/>
    <w:rsid w:val="60AE07E7"/>
    <w:rsid w:val="612E1A5D"/>
    <w:rsid w:val="61816046"/>
    <w:rsid w:val="62391564"/>
    <w:rsid w:val="62816669"/>
    <w:rsid w:val="62BA0953"/>
    <w:rsid w:val="62D03A7C"/>
    <w:rsid w:val="62F648FE"/>
    <w:rsid w:val="63A10995"/>
    <w:rsid w:val="63C23EFA"/>
    <w:rsid w:val="643A070A"/>
    <w:rsid w:val="644C573D"/>
    <w:rsid w:val="648667A7"/>
    <w:rsid w:val="64DB383A"/>
    <w:rsid w:val="65032F85"/>
    <w:rsid w:val="65136B50"/>
    <w:rsid w:val="657E2A35"/>
    <w:rsid w:val="65A94E9D"/>
    <w:rsid w:val="65C60A92"/>
    <w:rsid w:val="66DD6702"/>
    <w:rsid w:val="679406CB"/>
    <w:rsid w:val="68AD17BB"/>
    <w:rsid w:val="68D94D22"/>
    <w:rsid w:val="692B2E4A"/>
    <w:rsid w:val="694303FB"/>
    <w:rsid w:val="696A0B34"/>
    <w:rsid w:val="698D6A17"/>
    <w:rsid w:val="69EE3535"/>
    <w:rsid w:val="69F954C1"/>
    <w:rsid w:val="6A2031B6"/>
    <w:rsid w:val="6A440C53"/>
    <w:rsid w:val="6AC61F6F"/>
    <w:rsid w:val="6ADE74F0"/>
    <w:rsid w:val="6B723594"/>
    <w:rsid w:val="6B805156"/>
    <w:rsid w:val="6BD50977"/>
    <w:rsid w:val="6BEA2A9B"/>
    <w:rsid w:val="6C9C0875"/>
    <w:rsid w:val="6CAA3931"/>
    <w:rsid w:val="6D3933CA"/>
    <w:rsid w:val="6D7B61EC"/>
    <w:rsid w:val="6DD049FF"/>
    <w:rsid w:val="6E09491E"/>
    <w:rsid w:val="6E0D3655"/>
    <w:rsid w:val="6E5F4465"/>
    <w:rsid w:val="6E8C54DA"/>
    <w:rsid w:val="6EF11E03"/>
    <w:rsid w:val="6F111C62"/>
    <w:rsid w:val="6F2176E5"/>
    <w:rsid w:val="6F3053CA"/>
    <w:rsid w:val="6F592303"/>
    <w:rsid w:val="6F5F5B74"/>
    <w:rsid w:val="6F9B1C65"/>
    <w:rsid w:val="6FFB146E"/>
    <w:rsid w:val="701A5C74"/>
    <w:rsid w:val="706516C3"/>
    <w:rsid w:val="70896E68"/>
    <w:rsid w:val="715B60E9"/>
    <w:rsid w:val="71C33D99"/>
    <w:rsid w:val="71EA1FED"/>
    <w:rsid w:val="72C16204"/>
    <w:rsid w:val="730313F6"/>
    <w:rsid w:val="731E1007"/>
    <w:rsid w:val="73370D24"/>
    <w:rsid w:val="7359268C"/>
    <w:rsid w:val="739503EB"/>
    <w:rsid w:val="73A05B28"/>
    <w:rsid w:val="73C07D69"/>
    <w:rsid w:val="74B42AE4"/>
    <w:rsid w:val="750A429D"/>
    <w:rsid w:val="755D38A7"/>
    <w:rsid w:val="75614792"/>
    <w:rsid w:val="75784473"/>
    <w:rsid w:val="757E044C"/>
    <w:rsid w:val="75977BC3"/>
    <w:rsid w:val="75B161B3"/>
    <w:rsid w:val="75E470E3"/>
    <w:rsid w:val="76736B32"/>
    <w:rsid w:val="76E3765E"/>
    <w:rsid w:val="76FC2AFA"/>
    <w:rsid w:val="77653671"/>
    <w:rsid w:val="778546CC"/>
    <w:rsid w:val="77B56730"/>
    <w:rsid w:val="77C04A8B"/>
    <w:rsid w:val="77C401C6"/>
    <w:rsid w:val="77D85DB3"/>
    <w:rsid w:val="78027772"/>
    <w:rsid w:val="78A50513"/>
    <w:rsid w:val="796518DD"/>
    <w:rsid w:val="79AA0532"/>
    <w:rsid w:val="79FE1DDD"/>
    <w:rsid w:val="7A075767"/>
    <w:rsid w:val="7A212062"/>
    <w:rsid w:val="7A282A11"/>
    <w:rsid w:val="7AC21562"/>
    <w:rsid w:val="7AD474A4"/>
    <w:rsid w:val="7B5350AD"/>
    <w:rsid w:val="7B697C89"/>
    <w:rsid w:val="7B8D34C3"/>
    <w:rsid w:val="7B971D84"/>
    <w:rsid w:val="7BF32F03"/>
    <w:rsid w:val="7C1724A5"/>
    <w:rsid w:val="7C68281E"/>
    <w:rsid w:val="7C8A0FFB"/>
    <w:rsid w:val="7CA54112"/>
    <w:rsid w:val="7CBD7285"/>
    <w:rsid w:val="7CE50CE4"/>
    <w:rsid w:val="7D2E5ABF"/>
    <w:rsid w:val="7D40360E"/>
    <w:rsid w:val="7E2142A2"/>
    <w:rsid w:val="7E5A6DFA"/>
    <w:rsid w:val="7E7B0BF2"/>
    <w:rsid w:val="7E8D75B6"/>
    <w:rsid w:val="7EF760EE"/>
    <w:rsid w:val="7F2A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qFormat/>
    <w:uiPriority w:val="0"/>
    <w:pPr>
      <w:keepNext/>
      <w:numPr>
        <w:ilvl w:val="0"/>
        <w:numId w:val="1"/>
      </w:numPr>
      <w:tabs>
        <w:tab w:val="left" w:pos="432"/>
      </w:tabs>
      <w:jc w:val="center"/>
      <w:outlineLvl w:val="0"/>
    </w:pPr>
    <w:rPr>
      <w:rFonts w:ascii="黑体" w:hAnsi="Times New Roman" w:eastAsia="黑体" w:cs="Times New Roman"/>
      <w:sz w:val="52"/>
      <w:szCs w:val="20"/>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61"/>
      <w:ind w:left="120"/>
    </w:pPr>
    <w:rPr>
      <w:rFonts w:ascii="宋体" w:hAnsi="宋体" w:eastAsia="宋体" w:cs="宋体"/>
      <w:sz w:val="24"/>
      <w:lang w:val="zh-CN" w:bidi="zh-CN"/>
    </w:rPr>
  </w:style>
  <w:style w:type="paragraph" w:styleId="7">
    <w:name w:val="toc 3"/>
    <w:basedOn w:val="1"/>
    <w:next w:val="1"/>
    <w:unhideWhenUsed/>
    <w:qFormat/>
    <w:uiPriority w:val="39"/>
    <w:pPr>
      <w:tabs>
        <w:tab w:val="right" w:leader="dot" w:pos="8296"/>
      </w:tabs>
      <w:ind w:left="838" w:leftChars="381"/>
    </w:pPr>
    <w:rPr>
      <w:sz w:val="21"/>
      <w:szCs w:val="21"/>
    </w:rPr>
  </w:style>
  <w:style w:type="paragraph" w:styleId="8">
    <w:name w:val="Plain Text"/>
    <w:basedOn w:val="1"/>
    <w:link w:val="36"/>
    <w:qFormat/>
    <w:uiPriority w:val="0"/>
    <w:pPr>
      <w:widowControl w:val="0"/>
      <w:adjustRightInd/>
      <w:snapToGrid/>
      <w:spacing w:after="0"/>
      <w:jc w:val="both"/>
    </w:pPr>
    <w:rPr>
      <w:rFonts w:ascii="宋体" w:hAnsi="Courier New" w:eastAsia="宋体" w:cs="Times New Roman"/>
      <w:b/>
      <w:kern w:val="2"/>
      <w:sz w:val="21"/>
      <w:szCs w:val="20"/>
    </w:rPr>
  </w:style>
  <w:style w:type="paragraph" w:styleId="9">
    <w:name w:val="Balloon Text"/>
    <w:basedOn w:val="1"/>
    <w:link w:val="39"/>
    <w:semiHidden/>
    <w:unhideWhenUsed/>
    <w:qFormat/>
    <w:uiPriority w:val="99"/>
    <w:pPr>
      <w:spacing w:after="0"/>
    </w:pPr>
    <w:rPr>
      <w:sz w:val="18"/>
      <w:szCs w:val="18"/>
    </w:rPr>
  </w:style>
  <w:style w:type="paragraph" w:styleId="10">
    <w:name w:val="footer"/>
    <w:basedOn w:val="1"/>
    <w:link w:val="38"/>
    <w:unhideWhenUsed/>
    <w:qFormat/>
    <w:uiPriority w:val="99"/>
    <w:pPr>
      <w:tabs>
        <w:tab w:val="center" w:pos="4153"/>
        <w:tab w:val="right" w:pos="8306"/>
      </w:tabs>
    </w:pPr>
    <w:rPr>
      <w:sz w:val="18"/>
      <w:szCs w:val="18"/>
    </w:rPr>
  </w:style>
  <w:style w:type="paragraph" w:styleId="11">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2">
    <w:name w:val="toc 1"/>
    <w:basedOn w:val="1"/>
    <w:next w:val="1"/>
    <w:semiHidden/>
    <w:unhideWhenUsed/>
    <w:qFormat/>
    <w:uiPriority w:val="39"/>
  </w:style>
  <w:style w:type="paragraph" w:styleId="13">
    <w:name w:val="toc 4"/>
    <w:basedOn w:val="1"/>
    <w:next w:val="1"/>
    <w:unhideWhenUsed/>
    <w:qFormat/>
    <w:uiPriority w:val="39"/>
    <w:pPr>
      <w:tabs>
        <w:tab w:val="right" w:leader="dot" w:pos="8296"/>
      </w:tabs>
      <w:spacing w:after="120"/>
      <w:ind w:left="1320" w:leftChars="600"/>
    </w:pPr>
  </w:style>
  <w:style w:type="paragraph" w:styleId="14">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15">
    <w:name w:val="Normal (Web)"/>
    <w:basedOn w:val="1"/>
    <w:link w:val="41"/>
    <w:qFormat/>
    <w:uiPriority w:val="0"/>
    <w:pPr>
      <w:widowControl w:val="0"/>
      <w:adjustRightInd/>
      <w:snapToGrid/>
      <w:spacing w:after="0"/>
      <w:jc w:val="both"/>
    </w:pPr>
    <w:rPr>
      <w:rFonts w:eastAsia="宋体" w:asciiTheme="minorHAnsi" w:hAnsiTheme="minorHAnsi"/>
      <w:kern w:val="2"/>
      <w:sz w:val="24"/>
      <w:szCs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semiHidden/>
    <w:unhideWhenUsed/>
    <w:qFormat/>
    <w:uiPriority w:val="99"/>
    <w:rPr>
      <w:rFonts w:hint="eastAsia" w:ascii="宋体" w:hAnsi="宋体" w:eastAsia="宋体" w:cs="宋体"/>
      <w:color w:val="0031C1"/>
      <w:sz w:val="18"/>
      <w:szCs w:val="18"/>
      <w:u w:val="none"/>
    </w:rPr>
  </w:style>
  <w:style w:type="character" w:styleId="20">
    <w:name w:val="Emphasis"/>
    <w:basedOn w:val="18"/>
    <w:qFormat/>
    <w:uiPriority w:val="20"/>
    <w:rPr>
      <w:i/>
      <w:iCs/>
    </w:rPr>
  </w:style>
  <w:style w:type="character" w:styleId="21">
    <w:name w:val="Hyperlink"/>
    <w:qFormat/>
    <w:uiPriority w:val="99"/>
    <w:rPr>
      <w:rFonts w:hint="eastAsia" w:ascii="宋体" w:hAnsi="宋体" w:eastAsia="宋体" w:cs="宋体"/>
      <w:b/>
      <w:color w:val="0031C1"/>
      <w:kern w:val="0"/>
      <w:sz w:val="18"/>
      <w:szCs w:val="18"/>
      <w:u w:val="none"/>
      <w:lang w:eastAsia="en-US"/>
    </w:rPr>
  </w:style>
  <w:style w:type="character" w:customStyle="1" w:styleId="22">
    <w:name w:val="标题 2 Char"/>
    <w:basedOn w:val="18"/>
    <w:link w:val="4"/>
    <w:qFormat/>
    <w:uiPriority w:val="9"/>
    <w:rPr>
      <w:rFonts w:asciiTheme="majorHAnsi" w:hAnsiTheme="majorHAnsi" w:eastAsiaTheme="majorEastAsia" w:cstheme="majorBidi"/>
      <w:b/>
      <w:bCs/>
      <w:sz w:val="32"/>
      <w:szCs w:val="32"/>
    </w:rPr>
  </w:style>
  <w:style w:type="character" w:customStyle="1" w:styleId="23">
    <w:name w:val="标题 3 Char"/>
    <w:basedOn w:val="18"/>
    <w:link w:val="5"/>
    <w:qFormat/>
    <w:uiPriority w:val="9"/>
    <w:rPr>
      <w:rFonts w:ascii="Tahoma" w:hAnsi="Tahoma"/>
      <w:b/>
      <w:bCs/>
      <w:sz w:val="32"/>
      <w:szCs w:val="32"/>
    </w:rPr>
  </w:style>
  <w:style w:type="paragraph" w:styleId="24">
    <w:name w:val="List Paragraph"/>
    <w:basedOn w:val="1"/>
    <w:qFormat/>
    <w:uiPriority w:val="34"/>
    <w:pPr>
      <w:ind w:firstLine="420" w:firstLineChars="200"/>
    </w:pPr>
  </w:style>
  <w:style w:type="character" w:customStyle="1" w:styleId="25">
    <w:name w:val="标题 4 Char"/>
    <w:basedOn w:val="18"/>
    <w:link w:val="6"/>
    <w:qFormat/>
    <w:uiPriority w:val="9"/>
    <w:rPr>
      <w:rFonts w:asciiTheme="majorHAnsi" w:hAnsiTheme="majorHAnsi" w:eastAsiaTheme="majorEastAsia" w:cstheme="majorBidi"/>
      <w:b/>
      <w:bCs/>
      <w:sz w:val="28"/>
      <w:szCs w:val="28"/>
    </w:rPr>
  </w:style>
  <w:style w:type="character" w:customStyle="1" w:styleId="26">
    <w:name w:val="正文缩进2格 Char"/>
    <w:link w:val="27"/>
    <w:qFormat/>
    <w:uiPriority w:val="0"/>
    <w:rPr>
      <w:rFonts w:ascii="仿宋_GB2312" w:hAnsi="宋体" w:eastAsia="仿宋_GB2312"/>
      <w:kern w:val="2"/>
      <w:sz w:val="31"/>
    </w:rPr>
  </w:style>
  <w:style w:type="paragraph" w:customStyle="1" w:styleId="27">
    <w:name w:val="正文缩进2格"/>
    <w:basedOn w:val="1"/>
    <w:link w:val="26"/>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28">
    <w:name w:val="正文缩进4格"/>
    <w:basedOn w:val="27"/>
    <w:qFormat/>
    <w:uiPriority w:val="0"/>
    <w:pPr>
      <w:ind w:left="2" w:firstLine="538" w:firstLineChars="192"/>
    </w:pPr>
    <w:rPr>
      <w:color w:val="0000FF"/>
      <w:sz w:val="28"/>
    </w:rPr>
  </w:style>
  <w:style w:type="character" w:customStyle="1" w:styleId="29">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0">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1">
    <w:name w:val="标题1"/>
    <w:qFormat/>
    <w:uiPriority w:val="0"/>
    <w:rPr>
      <w:rFonts w:ascii="Times New Roman" w:hAnsi="Times New Roman" w:eastAsia="宋体" w:cs="Times New Roman"/>
      <w:b/>
      <w:kern w:val="0"/>
      <w:sz w:val="24"/>
      <w:szCs w:val="20"/>
      <w:lang w:eastAsia="en-US"/>
    </w:rPr>
  </w:style>
  <w:style w:type="character" w:customStyle="1" w:styleId="32">
    <w:name w:val="标题 3.1 Char"/>
    <w:link w:val="33"/>
    <w:qFormat/>
    <w:uiPriority w:val="0"/>
    <w:rPr>
      <w:rFonts w:ascii="宋体" w:hAnsi="宋体" w:eastAsia="宋体"/>
      <w:b/>
      <w:color w:val="FF0000"/>
      <w:kern w:val="2"/>
      <w:sz w:val="32"/>
    </w:rPr>
  </w:style>
  <w:style w:type="paragraph" w:customStyle="1" w:styleId="33">
    <w:name w:val="标题 3.1"/>
    <w:basedOn w:val="5"/>
    <w:link w:val="32"/>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34">
    <w:name w:val="样式 楷体_GB2312 小四"/>
    <w:qFormat/>
    <w:uiPriority w:val="0"/>
    <w:rPr>
      <w:rFonts w:ascii="楷体_GB2312" w:hAnsi="楷体_GB2312" w:eastAsia="仿宋_GB2312"/>
      <w:sz w:val="24"/>
    </w:rPr>
  </w:style>
  <w:style w:type="character" w:customStyle="1" w:styleId="35">
    <w:name w:val="纯文本 Char"/>
    <w:qFormat/>
    <w:uiPriority w:val="0"/>
    <w:rPr>
      <w:rFonts w:ascii="宋体" w:hAnsi="Courier New" w:eastAsia="宋体" w:cs="Times New Roman"/>
      <w:b/>
      <w:kern w:val="2"/>
      <w:sz w:val="21"/>
      <w:szCs w:val="20"/>
    </w:rPr>
  </w:style>
  <w:style w:type="character" w:customStyle="1" w:styleId="36">
    <w:name w:val="纯文本 Char1"/>
    <w:basedOn w:val="18"/>
    <w:link w:val="8"/>
    <w:semiHidden/>
    <w:qFormat/>
    <w:uiPriority w:val="99"/>
    <w:rPr>
      <w:rFonts w:ascii="宋体" w:hAnsi="Courier New" w:eastAsia="宋体" w:cs="Courier New"/>
      <w:sz w:val="21"/>
      <w:szCs w:val="21"/>
    </w:rPr>
  </w:style>
  <w:style w:type="character" w:customStyle="1" w:styleId="37">
    <w:name w:val="页眉 Char"/>
    <w:basedOn w:val="18"/>
    <w:link w:val="11"/>
    <w:qFormat/>
    <w:uiPriority w:val="99"/>
    <w:rPr>
      <w:rFonts w:ascii="Tahoma" w:hAnsi="Tahoma"/>
      <w:sz w:val="18"/>
      <w:szCs w:val="18"/>
    </w:rPr>
  </w:style>
  <w:style w:type="character" w:customStyle="1" w:styleId="38">
    <w:name w:val="页脚 Char"/>
    <w:basedOn w:val="18"/>
    <w:link w:val="10"/>
    <w:qFormat/>
    <w:uiPriority w:val="99"/>
    <w:rPr>
      <w:rFonts w:ascii="Tahoma" w:hAnsi="Tahoma"/>
      <w:sz w:val="18"/>
      <w:szCs w:val="18"/>
    </w:rPr>
  </w:style>
  <w:style w:type="character" w:customStyle="1" w:styleId="39">
    <w:name w:val="批注框文本 Char"/>
    <w:basedOn w:val="18"/>
    <w:link w:val="9"/>
    <w:semiHidden/>
    <w:qFormat/>
    <w:uiPriority w:val="99"/>
    <w:rPr>
      <w:rFonts w:ascii="Tahoma" w:hAnsi="Tahoma"/>
      <w:sz w:val="18"/>
      <w:szCs w:val="18"/>
    </w:rPr>
  </w:style>
  <w:style w:type="paragraph" w:customStyle="1" w:styleId="40">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41">
    <w:name w:val="普通(网站) Char"/>
    <w:link w:val="15"/>
    <w:qFormat/>
    <w:uiPriority w:val="0"/>
    <w:rPr>
      <w:rFonts w:eastAsia="宋体"/>
      <w:kern w:val="2"/>
      <w:sz w:val="24"/>
      <w:szCs w:val="24"/>
    </w:rPr>
  </w:style>
  <w:style w:type="paragraph" w:customStyle="1" w:styleId="42">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43">
    <w:name w:val="p141"/>
    <w:qFormat/>
    <w:uiPriority w:val="0"/>
    <w:rPr>
      <w:sz w:val="21"/>
      <w:szCs w:val="21"/>
    </w:rPr>
  </w:style>
  <w:style w:type="paragraph" w:customStyle="1" w:styleId="44">
    <w:name w:val="*正文"/>
    <w:basedOn w:val="1"/>
    <w:qFormat/>
    <w:uiPriority w:val="0"/>
    <w:pPr>
      <w:spacing w:line="300" w:lineRule="auto"/>
      <w:ind w:firstLine="480" w:firstLineChars="200"/>
    </w:pPr>
    <w:rPr>
      <w:rFonts w:ascii="宋体" w:hAnsi="宋体"/>
      <w:sz w:val="24"/>
    </w:rPr>
  </w:style>
  <w:style w:type="character" w:customStyle="1" w:styleId="45">
    <w:name w:val="required"/>
    <w:basedOn w:val="18"/>
    <w:qFormat/>
    <w:uiPriority w:val="0"/>
    <w:rPr>
      <w:color w:val="FF0000"/>
    </w:rPr>
  </w:style>
  <w:style w:type="character" w:customStyle="1" w:styleId="46">
    <w:name w:val="tab1"/>
    <w:basedOn w:val="18"/>
    <w:qFormat/>
    <w:uiPriority w:val="0"/>
  </w:style>
  <w:style w:type="character" w:customStyle="1" w:styleId="47">
    <w:name w:val="hilite6"/>
    <w:basedOn w:val="18"/>
    <w:qFormat/>
    <w:uiPriority w:val="0"/>
    <w:rPr>
      <w:color w:val="000000"/>
    </w:rPr>
  </w:style>
  <w:style w:type="character" w:customStyle="1" w:styleId="48">
    <w:name w:val="active4"/>
    <w:basedOn w:val="18"/>
    <w:qFormat/>
    <w:uiPriority w:val="0"/>
    <w:rPr>
      <w:color w:val="FFFFFF"/>
    </w:rPr>
  </w:style>
  <w:style w:type="character" w:customStyle="1" w:styleId="49">
    <w:name w:val="fielderror"/>
    <w:basedOn w:val="18"/>
    <w:qFormat/>
    <w:uiPriority w:val="0"/>
    <w:rPr>
      <w:color w:val="800000"/>
      <w:shd w:val="clear" w:fill="133EBF"/>
    </w:rPr>
  </w:style>
  <w:style w:type="character" w:customStyle="1" w:styleId="50">
    <w:name w:val="tab2"/>
    <w:basedOn w:val="18"/>
    <w:uiPriority w:val="0"/>
    <w:rPr>
      <w:color w:val="33336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9910E7-DC62-4120-A04C-76813FF68F80}">
  <ds:schemaRefs/>
</ds:datastoreItem>
</file>

<file path=docProps/app.xml><?xml version="1.0" encoding="utf-8"?>
<Properties xmlns="http://schemas.openxmlformats.org/officeDocument/2006/extended-properties" xmlns:vt="http://schemas.openxmlformats.org/officeDocument/2006/docPropsVTypes">
  <Template>Normal</Template>
  <Manager>HLR</Manager>
  <Company>广东三方诚信招标有限公司东莞分公司</Company>
  <Pages>83</Pages>
  <Words>8548</Words>
  <Characters>48730</Characters>
  <Lines>406</Lines>
  <Paragraphs>114</Paragraphs>
  <TotalTime>4</TotalTime>
  <ScaleCrop>false</ScaleCrop>
  <LinksUpToDate>false</LinksUpToDate>
  <CharactersWithSpaces>57164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2019-07-08T13:55:00Z</dcterms:created>
  <dc:creator>广东三方诚信招标有限公司东莞分公司</dc:creator>
  <cp:keywords>文件格式版本</cp:keywords>
  <cp:lastModifiedBy>三方诚信-锦涛</cp:lastModifiedBy>
  <cp:lastPrinted>2019-04-01T01:49:00Z</cp:lastPrinted>
  <dcterms:modified xsi:type="dcterms:W3CDTF">2019-12-26T06:31:25Z</dcterms:modified>
  <dc:subject>公开招标文件版本</dc:subject>
  <dc:title>公开招标文件版本</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